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225425</wp:posOffset>
            </wp:positionH>
            <wp:positionV relativeFrom="page">
              <wp:posOffset>706120</wp:posOffset>
            </wp:positionV>
            <wp:extent cx="7098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662940</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 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0" w:lineRule="exact"/>
        <w:rPr>
          <w:sz w:val="24"/>
          <w:szCs w:val="24"/>
          <w:color w:val="auto"/>
        </w:rPr>
      </w:pPr>
    </w:p>
    <w:p>
      <w:pPr>
        <w:spacing w:after="0" w:line="285" w:lineRule="exact"/>
        <w:rPr>
          <w:sz w:val="24"/>
          <w:szCs w:val="24"/>
          <w:color w:val="auto"/>
        </w:rPr>
      </w:pPr>
    </w:p>
    <w:p>
      <w:pPr>
        <w:ind w:left="400" w:hanging="338"/>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 (d) OF THE SECURITIES EXCHANGE ACT OF 1934</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2023</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94" w:lineRule="exact"/>
        <w:rPr>
          <w:sz w:val="24"/>
          <w:szCs w:val="24"/>
          <w:color w:val="auto"/>
        </w:rPr>
      </w:pPr>
    </w:p>
    <w:p>
      <w:pPr>
        <w:ind w:left="400" w:hanging="338"/>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 (d) OF THE SECURITIES EXCHANGE ACT OF 1934</w:t>
      </w:r>
    </w:p>
    <w:p>
      <w:pPr>
        <w:spacing w:after="0" w:line="115" w:lineRule="exact"/>
        <w:rPr>
          <w:sz w:val="24"/>
          <w:szCs w:val="24"/>
          <w:color w:val="auto"/>
        </w:rPr>
      </w:pPr>
    </w:p>
    <w:tbl>
      <w:tblPr>
        <w:tblLayout w:type="fixed"/>
        <w:tblInd w:w="36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258"/>
        </w:trPr>
        <w:tc>
          <w:tcPr>
            <w:tcW w:w="3620" w:type="dxa"/>
            <w:vAlign w:val="bottom"/>
            <w:gridSpan w:val="4"/>
          </w:tcPr>
          <w:p>
            <w:pPr>
              <w:ind w:left="760"/>
              <w:spacing w:after="0"/>
              <w:rPr>
                <w:sz w:val="20"/>
                <w:szCs w:val="20"/>
                <w:color w:val="auto"/>
              </w:rPr>
            </w:pPr>
            <w:r>
              <w:rPr>
                <w:rFonts w:ascii="Times New Roman" w:cs="Times New Roman" w:eastAsia="Times New Roman" w:hAnsi="Times New Roman"/>
                <w:sz w:val="16"/>
                <w:szCs w:val="16"/>
                <w:b w:val="1"/>
                <w:bCs w:val="1"/>
                <w:color w:val="auto"/>
              </w:rPr>
              <w:t>Commission file number: 001-34033</w:t>
            </w: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72390</wp:posOffset>
            </wp:positionV>
            <wp:extent cx="1011555"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308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DIGI INTERNATIONAL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7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5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41-1532464</w:t>
            </w:r>
          </w:p>
        </w:tc>
      </w:tr>
      <w:tr>
        <w:trPr>
          <w:trHeight w:val="207"/>
        </w:trPr>
        <w:tc>
          <w:tcPr>
            <w:tcW w:w="5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Number)</w:t>
            </w:r>
          </w:p>
        </w:tc>
      </w:tr>
      <w:tr>
        <w:trPr>
          <w:trHeight w:val="337"/>
        </w:trPr>
        <w:tc>
          <w:tcPr>
            <w:tcW w:w="5760" w:type="dxa"/>
            <w:vAlign w:val="bottom"/>
            <w:gridSpan w:val="3"/>
          </w:tcPr>
          <w:p>
            <w:pPr>
              <w:ind w:left="1340"/>
              <w:spacing w:after="0"/>
              <w:rPr>
                <w:sz w:val="20"/>
                <w:szCs w:val="20"/>
                <w:color w:val="auto"/>
              </w:rPr>
            </w:pPr>
            <w:r>
              <w:rPr>
                <w:rFonts w:ascii="Times New Roman" w:cs="Times New Roman" w:eastAsia="Times New Roman" w:hAnsi="Times New Roman"/>
                <w:sz w:val="16"/>
                <w:szCs w:val="16"/>
                <w:b w:val="1"/>
                <w:bCs w:val="1"/>
                <w:color w:val="auto"/>
              </w:rPr>
              <w:t>9350 Excelsior Blvd. Suite 700</w:t>
            </w:r>
          </w:p>
        </w:tc>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19"/>
        </w:trPr>
        <w:tc>
          <w:tcPr>
            <w:tcW w:w="5760" w:type="dxa"/>
            <w:vAlign w:val="bottom"/>
            <w:gridSpan w:val="3"/>
          </w:tcPr>
          <w:p>
            <w:pPr>
              <w:ind w:left="2160"/>
              <w:spacing w:after="0"/>
              <w:rPr>
                <w:sz w:val="20"/>
                <w:szCs w:val="20"/>
                <w:color w:val="auto"/>
              </w:rPr>
            </w:pPr>
            <w:r>
              <w:rPr>
                <w:rFonts w:ascii="Times New Roman" w:cs="Times New Roman" w:eastAsia="Times New Roman" w:hAnsi="Times New Roman"/>
                <w:sz w:val="16"/>
                <w:szCs w:val="16"/>
                <w:b w:val="1"/>
                <w:bCs w:val="1"/>
                <w:color w:val="auto"/>
              </w:rPr>
              <w:t>Hopkins Minnesota</w:t>
            </w:r>
          </w:p>
        </w:tc>
        <w:tc>
          <w:tcPr>
            <w:tcW w:w="5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55343</w:t>
            </w:r>
          </w:p>
        </w:tc>
      </w:tr>
      <w:tr>
        <w:trPr>
          <w:trHeight w:val="207"/>
        </w:trPr>
        <w:tc>
          <w:tcPr>
            <w:tcW w:w="55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(952) 912-3444</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36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9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327"/>
        </w:trPr>
        <w:tc>
          <w:tcPr>
            <w:tcW w:w="3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$.01 per share</w:t>
            </w:r>
          </w:p>
        </w:tc>
        <w:tc>
          <w:tcPr>
            <w:tcW w:w="120" w:type="dxa"/>
            <w:vAlign w:val="bottom"/>
          </w:tcPr>
          <w:p>
            <w:pPr>
              <w:spacing w:after="0"/>
              <w:rPr>
                <w:sz w:val="17"/>
                <w:szCs w:val="17"/>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DGII</w:t>
            </w:r>
          </w:p>
        </w:tc>
        <w:tc>
          <w:tcPr>
            <w:tcW w:w="100" w:type="dxa"/>
            <w:vAlign w:val="bottom"/>
          </w:tcPr>
          <w:p>
            <w:pPr>
              <w:spacing w:after="0"/>
              <w:rPr>
                <w:sz w:val="17"/>
                <w:szCs w:val="17"/>
                <w:color w:val="auto"/>
              </w:rPr>
            </w:pPr>
          </w:p>
        </w:tc>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0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right="40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jc w:val="both"/>
        <w:ind w:right="20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2"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Accelerated filer</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2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2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150" w:lineRule="exact"/>
        <w:rPr>
          <w:sz w:val="24"/>
          <w:szCs w:val="24"/>
          <w:color w:val="auto"/>
        </w:rPr>
      </w:pPr>
    </w:p>
    <w:p>
      <w:pPr>
        <w:ind w:right="5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4" w:lineRule="exact"/>
        <w:rPr>
          <w:sz w:val="24"/>
          <w:szCs w:val="24"/>
          <w:color w:val="auto"/>
        </w:rPr>
      </w:pPr>
    </w:p>
    <w:p>
      <w:pPr>
        <w:ind w:right="286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On April 27, 2023, there were 35,870,526 shares of the registrant's $.01 par value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840740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INDEX</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1"/>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4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8"/>
                <w:szCs w:val="18"/>
                <w:color w:val="auto"/>
              </w:rPr>
              <w:t>Page</w:t>
            </w:r>
          </w:p>
        </w:tc>
      </w:tr>
      <w:tr>
        <w:trPr>
          <w:trHeight w:val="183"/>
        </w:trPr>
        <w:tc>
          <w:tcPr>
            <w:tcW w:w="986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0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ITEM 1. Unaudited Financial Statements:</w:t>
            </w:r>
          </w:p>
        </w:tc>
        <w:tc>
          <w:tcPr>
            <w:tcW w:w="6840" w:type="dxa"/>
            <w:vAlign w:val="bottom"/>
            <w:gridSpan w:val="9"/>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r>
      <w:tr>
        <w:trPr>
          <w:trHeight w:val="439"/>
        </w:trPr>
        <w:tc>
          <w:tcPr>
            <w:tcW w:w="120" w:type="dxa"/>
            <w:vAlign w:val="bottom"/>
          </w:tcPr>
          <w:p>
            <w:pPr>
              <w:spacing w:after="0"/>
              <w:rPr>
                <w:sz w:val="24"/>
                <w:szCs w:val="24"/>
                <w:color w:val="auto"/>
              </w:rPr>
            </w:pPr>
          </w:p>
        </w:tc>
        <w:tc>
          <w:tcPr>
            <w:tcW w:w="45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5160" w:type="dxa"/>
            <w:vAlign w:val="bottom"/>
            <w:gridSpan w:val="3"/>
          </w:tcPr>
          <w:p>
            <w:pPr>
              <w:spacing w:after="0"/>
              <w:rPr>
                <w:sz w:val="24"/>
                <w:szCs w:val="24"/>
                <w:color w:val="auto"/>
              </w:rPr>
            </w:pPr>
          </w:p>
        </w:tc>
        <w:tc>
          <w:tcPr>
            <w:tcW w:w="122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64"/>
        </w:trPr>
        <w:tc>
          <w:tcPr>
            <w:tcW w:w="120" w:type="dxa"/>
            <w:vAlign w:val="bottom"/>
          </w:tcPr>
          <w:p>
            <w:pPr>
              <w:spacing w:after="0"/>
              <w:rPr>
                <w:sz w:val="22"/>
                <w:szCs w:val="22"/>
                <w:color w:val="auto"/>
              </w:rPr>
            </w:pPr>
          </w:p>
        </w:tc>
        <w:tc>
          <w:tcPr>
            <w:tcW w:w="44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5340" w:type="dxa"/>
            <w:vAlign w:val="bottom"/>
            <w:gridSpan w:val="4"/>
          </w:tcPr>
          <w:p>
            <w:pPr>
              <w:spacing w:after="0"/>
              <w:rPr>
                <w:sz w:val="22"/>
                <w:szCs w:val="22"/>
                <w:color w:val="auto"/>
              </w:rPr>
            </w:pPr>
          </w:p>
        </w:tc>
        <w:tc>
          <w:tcPr>
            <w:tcW w:w="1220" w:type="dxa"/>
            <w:vAlign w:val="bottom"/>
            <w:gridSpan w:val="2"/>
          </w:tcPr>
          <w:p>
            <w:pPr>
              <w:spacing w:after="0"/>
              <w:rPr>
                <w:sz w:val="22"/>
                <w:szCs w:val="22"/>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9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8"/>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5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4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2580" w:type="dxa"/>
            <w:vAlign w:val="bottom"/>
            <w:gridSpan w:val="11"/>
          </w:tcPr>
          <w:p>
            <w:pPr>
              <w:spacing w:after="0"/>
              <w:rPr>
                <w:sz w:val="24"/>
                <w:szCs w:val="24"/>
                <w:color w:val="auto"/>
              </w:rPr>
            </w:pPr>
          </w:p>
        </w:tc>
        <w:tc>
          <w:tcPr>
            <w:tcW w:w="4840" w:type="dxa"/>
            <w:vAlign w:val="bottom"/>
            <w:gridSpan w:val="2"/>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5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7280" w:type="dxa"/>
            <w:vAlign w:val="bottom"/>
            <w:gridSpan w:val="12"/>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9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9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880" w:type="dxa"/>
            <w:vAlign w:val="bottom"/>
            <w:gridSpan w:val="14"/>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5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4840" w:type="dxa"/>
            <w:vAlign w:val="bottom"/>
            <w:gridSpan w:val="2"/>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8"/>
            <w:shd w:val="clear" w:color="auto" w:fill="0000FF"/>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ITEM 3. Defaults Upon Senior Securities</w:t>
            </w:r>
          </w:p>
        </w:tc>
        <w:tc>
          <w:tcPr>
            <w:tcW w:w="2020" w:type="dxa"/>
            <w:vAlign w:val="bottom"/>
            <w:gridSpan w:val="8"/>
          </w:tcPr>
          <w:p>
            <w:pPr>
              <w:spacing w:after="0"/>
              <w:rPr>
                <w:sz w:val="24"/>
                <w:szCs w:val="24"/>
                <w:color w:val="auto"/>
              </w:rPr>
            </w:pPr>
          </w:p>
        </w:tc>
        <w:tc>
          <w:tcPr>
            <w:tcW w:w="4840" w:type="dxa"/>
            <w:vAlign w:val="bottom"/>
            <w:gridSpan w:val="2"/>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4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4. Mine Safety Disclosures</w:t>
            </w:r>
          </w:p>
        </w:tc>
        <w:tc>
          <w:tcPr>
            <w:tcW w:w="560" w:type="dxa"/>
            <w:vAlign w:val="bottom"/>
            <w:gridSpan w:val="3"/>
          </w:tcPr>
          <w:p>
            <w:pPr>
              <w:spacing w:after="0"/>
              <w:rPr>
                <w:sz w:val="24"/>
                <w:szCs w:val="24"/>
                <w:color w:val="auto"/>
              </w:rPr>
            </w:pPr>
          </w:p>
        </w:tc>
        <w:tc>
          <w:tcPr>
            <w:tcW w:w="6860" w:type="dxa"/>
            <w:vAlign w:val="bottom"/>
            <w:gridSpan w:val="10"/>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420" w:type="dxa"/>
            <w:vAlign w:val="bottom"/>
            <w:gridSpan w:val="1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4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7420" w:type="dxa"/>
            <w:vAlign w:val="bottom"/>
            <w:gridSpan w:val="13"/>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880" w:type="dxa"/>
            <w:vAlign w:val="bottom"/>
            <w:gridSpan w:val="1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700" w:type="dxa"/>
            <w:vAlign w:val="bottom"/>
            <w:gridSpan w:val="2"/>
          </w:tcPr>
          <w:p>
            <w:pPr>
              <w:spacing w:after="0"/>
              <w:rPr>
                <w:sz w:val="24"/>
                <w:szCs w:val="24"/>
                <w:color w:val="auto"/>
              </w:rPr>
            </w:pPr>
          </w:p>
        </w:tc>
        <w:tc>
          <w:tcPr>
            <w:tcW w:w="7880" w:type="dxa"/>
            <w:vAlign w:val="bottom"/>
            <w:gridSpan w:val="14"/>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66"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340" w:type="dxa"/>
            <w:vAlign w:val="bottom"/>
          </w:tcPr>
          <w:p>
            <w:pPr>
              <w:spacing w:after="0"/>
              <w:rPr>
                <w:sz w:val="18"/>
                <w:szCs w:val="18"/>
                <w:color w:val="auto"/>
              </w:rPr>
            </w:pPr>
          </w:p>
        </w:tc>
        <w:tc>
          <w:tcPr>
            <w:tcW w:w="264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color w:val="auto"/>
              </w:rPr>
              <w:t>Six months ended March 31,</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gridSpan w:val="5"/>
          </w:tcPr>
          <w:p>
            <w:pPr>
              <w:ind w:left="100"/>
              <w:spacing w:after="0"/>
              <w:rPr>
                <w:sz w:val="20"/>
                <w:szCs w:val="20"/>
                <w:color w:val="auto"/>
              </w:rPr>
            </w:pPr>
            <w:r>
              <w:rPr>
                <w:rFonts w:ascii="Times New Roman" w:cs="Times New Roman" w:eastAsia="Times New Roman" w:hAnsi="Times New Roman"/>
                <w:sz w:val="16"/>
                <w:szCs w:val="16"/>
                <w:color w:val="auto"/>
              </w:rPr>
              <w:t>(in thousands, except per share data)</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83,819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69,167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165,574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132,965</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46,005</w:t>
            </w:r>
          </w:p>
        </w:tc>
        <w:tc>
          <w:tcPr>
            <w:tcW w:w="0" w:type="dxa"/>
            <w:vAlign w:val="bottom"/>
          </w:tcPr>
          <w:p>
            <w:pPr>
              <w:spacing w:after="0"/>
              <w:rPr>
                <w:sz w:val="1"/>
                <w:szCs w:val="1"/>
                <w:color w:val="auto"/>
              </w:rPr>
            </w:pPr>
          </w:p>
        </w:tc>
      </w:tr>
      <w:tr>
        <w:trPr>
          <w:trHeight w:val="207"/>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111,144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178,970</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63,722</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service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12,691</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Amortization</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2,692</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cost of sales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48,272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42,729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96,057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79,105</w:t>
            </w:r>
          </w:p>
        </w:tc>
        <w:tc>
          <w:tcPr>
            <w:tcW w:w="0" w:type="dxa"/>
            <w:vAlign w:val="bottom"/>
          </w:tcPr>
          <w:p>
            <w:pPr>
              <w:spacing w:after="0"/>
              <w:rPr>
                <w:sz w:val="1"/>
                <w:szCs w:val="1"/>
                <w:color w:val="auto"/>
              </w:rPr>
            </w:pP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62,872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51,984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124,393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99,865</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33,095</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27,231</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15,201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31,559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28,176</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50,697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44,420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100,255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88,502</w:t>
            </w:r>
          </w:p>
        </w:tc>
        <w:tc>
          <w:tcPr>
            <w:tcW w:w="0" w:type="dxa"/>
            <w:vAlign w:val="bottom"/>
          </w:tcPr>
          <w:p>
            <w:pPr>
              <w:spacing w:after="0"/>
              <w:rPr>
                <w:sz w:val="1"/>
                <w:szCs w:val="1"/>
                <w:color w:val="auto"/>
              </w:rPr>
            </w:pP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11,363</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(9,361)</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7"/>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expense, net</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(9,324)</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34,785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36,730</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35,608</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35,710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180" w:type="dxa"/>
            <w:vAlign w:val="bottom"/>
          </w:tcPr>
          <w:p>
            <w:pPr>
              <w:spacing w:after="0"/>
              <w:rPr>
                <w:sz w:val="18"/>
                <w:szCs w:val="18"/>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6"/>
                <w:szCs w:val="16"/>
                <w:color w:val="auto"/>
              </w:rPr>
              <w:t>Six months ended March 31,</w:t>
            </w:r>
          </w:p>
        </w:tc>
      </w:tr>
      <w:tr>
        <w:trPr>
          <w:trHeight w:val="210"/>
        </w:trPr>
        <w:tc>
          <w:tcPr>
            <w:tcW w:w="51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2022</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2022</w:t>
            </w:r>
          </w:p>
        </w:tc>
      </w:tr>
      <w:tr>
        <w:trPr>
          <w:trHeight w:val="210"/>
        </w:trPr>
        <w:tc>
          <w:tcPr>
            <w:tcW w:w="5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(in thousands)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2,847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4,034</w:t>
            </w: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07"/>
        </w:trPr>
        <w:tc>
          <w:tcPr>
            <w:tcW w:w="5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9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37"/>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6,077</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2,899</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3,874</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color w:val="auto"/>
              </w:rPr>
              <w:t>March 31, 2023</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September 30, 2022</w:t>
            </w:r>
          </w:p>
        </w:tc>
      </w:tr>
      <w:tr>
        <w:trPr>
          <w:trHeight w:val="210"/>
        </w:trPr>
        <w:tc>
          <w:tcPr>
            <w:tcW w:w="2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6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color w:val="auto"/>
              </w:rPr>
              <w:t>(in thousands, except share data)</w:t>
            </w:r>
          </w:p>
        </w:tc>
      </w:tr>
      <w:tr>
        <w:trPr>
          <w:trHeight w:val="219"/>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13"/>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34,900</w:t>
            </w:r>
          </w:p>
        </w:tc>
      </w:tr>
      <w:tr>
        <w:trPr>
          <w:trHeight w:val="213"/>
        </w:trPr>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50,450</w:t>
            </w: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73,223</w:t>
            </w:r>
          </w:p>
        </w:tc>
      </w:tr>
      <w:tr>
        <w:trPr>
          <w:trHeight w:val="213"/>
        </w:trPr>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Income taxes receivable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3,764</w:t>
            </w: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3,871</w:t>
            </w:r>
          </w:p>
        </w:tc>
      </w:tr>
      <w:tr>
        <w:trPr>
          <w:trHeight w:val="207"/>
        </w:trPr>
        <w:tc>
          <w:tcPr>
            <w:tcW w:w="744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169,066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166,208</w:t>
            </w:r>
          </w:p>
        </w:tc>
      </w:tr>
      <w:tr>
        <w:trPr>
          <w:trHeight w:val="219"/>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equipment and improvements, net</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27,594</w:t>
            </w:r>
          </w:p>
        </w:tc>
      </w:tr>
      <w:tr>
        <w:trPr>
          <w:trHeight w:val="213"/>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302,064</w:t>
            </w:r>
          </w:p>
        </w:tc>
      </w:tr>
      <w:tr>
        <w:trPr>
          <w:trHeight w:val="219"/>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341,862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340,477</w:t>
            </w:r>
          </w:p>
        </w:tc>
      </w:tr>
      <w:tr>
        <w:trPr>
          <w:trHeight w:val="213"/>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15,299</w:t>
            </w:r>
          </w:p>
        </w:tc>
      </w:tr>
      <w:tr>
        <w:trPr>
          <w:trHeight w:val="216"/>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w:t>
            </w:r>
          </w:p>
        </w:tc>
      </w:tr>
      <w:tr>
        <w:trPr>
          <w:trHeight w:val="212"/>
        </w:trPr>
        <w:tc>
          <w:tcPr>
            <w:tcW w:w="744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847,748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853,895</w:t>
            </w: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10"/>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15,523</w:t>
            </w:r>
          </w:p>
        </w:tc>
      </w:tr>
      <w:tr>
        <w:trPr>
          <w:trHeight w:val="213"/>
        </w:trPr>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32,373</w:t>
            </w: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14,576</w:t>
            </w:r>
          </w:p>
        </w:tc>
      </w:tr>
      <w:tr>
        <w:trPr>
          <w:trHeight w:val="213"/>
        </w:trPr>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Unearned revenue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19,803</w:t>
            </w: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w:t>
            </w:r>
          </w:p>
        </w:tc>
      </w:tr>
      <w:tr>
        <w:trPr>
          <w:trHeight w:val="213"/>
        </w:trPr>
        <w:tc>
          <w:tcPr>
            <w:tcW w:w="744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11,036</w:t>
            </w:r>
          </w:p>
        </w:tc>
      </w:tr>
      <w:tr>
        <w:trPr>
          <w:trHeight w:val="212"/>
        </w:trPr>
        <w:tc>
          <w:tcPr>
            <w:tcW w:w="744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96,507</w:t>
            </w:r>
          </w:p>
        </w:tc>
      </w:tr>
      <w:tr>
        <w:trPr>
          <w:trHeight w:val="213"/>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2,441</w:t>
            </w:r>
          </w:p>
        </w:tc>
      </w:tr>
      <w:tr>
        <w:trPr>
          <w:trHeight w:val="219"/>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9,666</w:t>
            </w:r>
          </w:p>
        </w:tc>
      </w:tr>
      <w:tr>
        <w:trPr>
          <w:trHeight w:val="213"/>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222,448</w:t>
            </w:r>
          </w:p>
        </w:tc>
      </w:tr>
      <w:tr>
        <w:trPr>
          <w:trHeight w:val="219"/>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16,978</w:t>
            </w:r>
          </w:p>
        </w:tc>
      </w:tr>
      <w:tr>
        <w:trPr>
          <w:trHeight w:val="213"/>
        </w:trPr>
        <w:tc>
          <w:tcPr>
            <w:tcW w:w="74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4,342</w:t>
            </w:r>
          </w:p>
        </w:tc>
      </w:tr>
      <w:tr>
        <w:trPr>
          <w:trHeight w:val="212"/>
        </w:trPr>
        <w:tc>
          <w:tcPr>
            <w:tcW w:w="744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327,569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352,382</w:t>
            </w:r>
          </w:p>
        </w:tc>
      </w:tr>
      <w:tr>
        <w:trPr>
          <w:trHeight w:val="155"/>
        </w:trPr>
        <w:tc>
          <w:tcPr>
            <w:tcW w:w="744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6"/>
                <w:szCs w:val="16"/>
                <w:color w:val="auto"/>
              </w:rPr>
              <w:t xml:space="preserve">Commitments and Contingencies (See </w:t>
            </w:r>
            <w:r>
              <w:rPr>
                <w:rFonts w:ascii="Times New Roman" w:cs="Times New Roman" w:eastAsia="Times New Roman" w:hAnsi="Times New Roman"/>
                <w:sz w:val="16"/>
                <w:szCs w:val="16"/>
                <w:color w:val="0000FF"/>
              </w:rPr>
              <w:t>Note 13</w:t>
            </w: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0"/>
        </w:trPr>
        <w:tc>
          <w:tcPr>
            <w:tcW w:w="25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6"/>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Preferred stock, $.01 par value; 2,000,000 shares authorized; none issued and outstanding</w:t>
            </w:r>
          </w:p>
        </w:tc>
        <w:tc>
          <w:tcPr>
            <w:tcW w:w="2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$.01 par value; 60,000,000 shares authorized; 42,324,578 and 41,950,732 shares issued</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r>
      <w:tr>
        <w:trPr>
          <w:trHeight w:val="213"/>
        </w:trPr>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394,036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385,244</w:t>
            </w: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200,075</w:t>
            </w:r>
          </w:p>
        </w:tc>
      </w:tr>
      <w:tr>
        <w:trPr>
          <w:trHeight w:val="213"/>
        </w:trPr>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(26,054)</w:t>
            </w: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at cost, 6,463,818 and 6,412,812 shares</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(61,446)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(58,172)</w:t>
            </w:r>
          </w:p>
        </w:tc>
      </w:tr>
      <w:tr>
        <w:trPr>
          <w:trHeight w:val="207"/>
        </w:trPr>
        <w:tc>
          <w:tcPr>
            <w:tcW w:w="744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520,179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501,513</w:t>
            </w:r>
          </w:p>
        </w:tc>
      </w:tr>
      <w:tr>
        <w:trPr>
          <w:trHeight w:val="237"/>
        </w:trPr>
        <w:tc>
          <w:tcPr>
            <w:tcW w:w="744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847,748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853,895</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Pr>
          <w:p>
            <w:pPr>
              <w:spacing w:after="0"/>
              <w:rPr>
                <w:sz w:val="18"/>
                <w:szCs w:val="18"/>
                <w:color w:val="auto"/>
              </w:rPr>
            </w:pPr>
          </w:p>
        </w:tc>
        <w:tc>
          <w:tcPr>
            <w:tcW w:w="3160" w:type="dxa"/>
            <w:vAlign w:val="bottom"/>
            <w:tcBorders>
              <w:bottom w:val="single" w:sz="8" w:color="auto"/>
            </w:tcBorders>
            <w:gridSpan w:val="5"/>
          </w:tcPr>
          <w:p>
            <w:pPr>
              <w:jc w:val="right"/>
              <w:ind w:right="559"/>
              <w:spacing w:after="0"/>
              <w:rPr>
                <w:sz w:val="20"/>
                <w:szCs w:val="20"/>
                <w:color w:val="auto"/>
              </w:rPr>
            </w:pPr>
            <w:r>
              <w:rPr>
                <w:rFonts w:ascii="Times New Roman" w:cs="Times New Roman" w:eastAsia="Times New Roman" w:hAnsi="Times New Roman"/>
                <w:sz w:val="16"/>
                <w:szCs w:val="16"/>
                <w:color w:val="auto"/>
              </w:rPr>
              <w:t>Six months ended March 31,</w:t>
            </w:r>
          </w:p>
        </w:tc>
      </w:tr>
      <w:tr>
        <w:trPr>
          <w:trHeight w:val="210"/>
        </w:trPr>
        <w:tc>
          <w:tcPr>
            <w:tcW w:w="80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2022</w:t>
            </w:r>
          </w:p>
        </w:tc>
      </w:tr>
      <w:tr>
        <w:trPr>
          <w:trHeight w:val="207"/>
        </w:trPr>
        <w:tc>
          <w:tcPr>
            <w:tcW w:w="8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(Restated) (1)</w:t>
            </w:r>
          </w:p>
        </w:tc>
      </w:tr>
      <w:tr>
        <w:trPr>
          <w:trHeight w:val="219"/>
        </w:trPr>
        <w:tc>
          <w:tcPr>
            <w:tcW w:w="8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20" w:type="dxa"/>
            <w:vAlign w:val="bottom"/>
            <w:gridSpan w:val="4"/>
          </w:tcPr>
          <w:p>
            <w:pPr>
              <w:jc w:val="right"/>
              <w:ind w:right="1039"/>
              <w:spacing w:after="0"/>
              <w:rPr>
                <w:sz w:val="20"/>
                <w:szCs w:val="20"/>
                <w:color w:val="auto"/>
              </w:rPr>
            </w:pPr>
            <w:r>
              <w:rPr>
                <w:rFonts w:ascii="Times New Roman" w:cs="Times New Roman" w:eastAsia="Times New Roman" w:hAnsi="Times New Roman"/>
                <w:sz w:val="16"/>
                <w:szCs w:val="16"/>
                <w:color w:val="auto"/>
              </w:rPr>
              <w:t>(in thousands)</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8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4,034</w:t>
            </w:r>
          </w:p>
        </w:tc>
      </w:tr>
      <w:tr>
        <w:trPr>
          <w:trHeight w:val="21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8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of property, equipment and improvements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w:t>
            </w:r>
          </w:p>
        </w:tc>
      </w:tr>
      <w:tr>
        <w:trPr>
          <w:trHeight w:val="219"/>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16,098</w:t>
            </w:r>
          </w:p>
        </w:tc>
      </w:tr>
      <w:tr>
        <w:trPr>
          <w:trHeight w:val="213"/>
        </w:trPr>
        <w:tc>
          <w:tcPr>
            <w:tcW w:w="8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4,259</w:t>
            </w:r>
          </w:p>
        </w:tc>
      </w:tr>
      <w:tr>
        <w:trPr>
          <w:trHeight w:val="219"/>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 (benefit) provision</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w:t>
            </w:r>
          </w:p>
        </w:tc>
      </w:tr>
      <w:tr>
        <w:trPr>
          <w:trHeight w:val="213"/>
        </w:trPr>
        <w:tc>
          <w:tcPr>
            <w:tcW w:w="8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r>
      <w:tr>
        <w:trPr>
          <w:trHeight w:val="219"/>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(22,719)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(18,522)</w:t>
            </w:r>
          </w:p>
        </w:tc>
      </w:tr>
      <w:tr>
        <w:trPr>
          <w:trHeight w:val="207"/>
        </w:trPr>
        <w:tc>
          <w:tcPr>
            <w:tcW w:w="80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11,758</w:t>
            </w:r>
          </w:p>
        </w:tc>
      </w:tr>
      <w:tr>
        <w:trPr>
          <w:trHeight w:val="21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8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9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(347,522)</w:t>
            </w:r>
          </w:p>
        </w:tc>
      </w:tr>
      <w:tr>
        <w:trPr>
          <w:trHeight w:val="21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property, equipment, improvements and certain other intangible assets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w:t>
            </w:r>
          </w:p>
        </w:tc>
      </w:tr>
      <w:tr>
        <w:trPr>
          <w:trHeight w:val="207"/>
        </w:trPr>
        <w:tc>
          <w:tcPr>
            <w:tcW w:w="80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(349,186)</w:t>
            </w:r>
          </w:p>
        </w:tc>
      </w:tr>
      <w:tr>
        <w:trPr>
          <w:trHeight w:val="21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8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9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r>
      <w:tr>
        <w:trPr>
          <w:trHeight w:val="21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(13,443)</w:t>
            </w:r>
          </w:p>
        </w:tc>
      </w:tr>
      <w:tr>
        <w:trPr>
          <w:trHeight w:val="213"/>
        </w:trPr>
        <w:tc>
          <w:tcPr>
            <w:tcW w:w="8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(109,369)</w:t>
            </w:r>
          </w:p>
        </w:tc>
      </w:tr>
      <w:tr>
        <w:trPr>
          <w:trHeight w:val="21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stock option plan transactions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5,598</w:t>
            </w:r>
          </w:p>
        </w:tc>
      </w:tr>
      <w:tr>
        <w:trPr>
          <w:trHeight w:val="213"/>
        </w:trPr>
        <w:tc>
          <w:tcPr>
            <w:tcW w:w="8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employee stock purchase plan transactions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r>
      <w:tr>
        <w:trPr>
          <w:trHeight w:val="21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paid for net share settlement of share-based payment options and awards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(6,408)</w:t>
            </w:r>
          </w:p>
        </w:tc>
      </w:tr>
      <w:tr>
        <w:trPr>
          <w:trHeight w:val="207"/>
        </w:trPr>
        <w:tc>
          <w:tcPr>
            <w:tcW w:w="80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(10,187)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227,048</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r>
      <w:tr>
        <w:trPr>
          <w:trHeight w:val="207"/>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(111,046)</w:t>
            </w: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152,432</w:t>
            </w:r>
          </w:p>
        </w:tc>
      </w:tr>
      <w:tr>
        <w:trPr>
          <w:trHeight w:val="212"/>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31,660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41,386</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15"/>
        </w:trPr>
        <w:tc>
          <w:tcPr>
            <w:tcW w:w="80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paid</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6,570</w:t>
            </w:r>
          </w:p>
        </w:tc>
      </w:tr>
      <w:tr>
        <w:trPr>
          <w:trHeight w:val="213"/>
        </w:trPr>
        <w:tc>
          <w:tcPr>
            <w:tcW w:w="8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taxes paid, net</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4,535</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schedule of non-cash investing and financing activities: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8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Transfer of inventory to property, equipment and improvements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w:t>
            </w:r>
          </w:p>
        </w:tc>
      </w:tr>
      <w:tr>
        <w:trPr>
          <w:trHeight w:val="21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Accrual for purchase of property, equipment, improvements and certain other intangible assets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bl>
    <w:p>
      <w:pPr>
        <w:spacing w:after="0" w:line="256" w:lineRule="exact"/>
        <w:rPr>
          <w:sz w:val="20"/>
          <w:szCs w:val="20"/>
          <w:color w:val="auto"/>
        </w:rPr>
      </w:pPr>
    </w:p>
    <w:p>
      <w:pPr>
        <w:ind w:right="300" w:firstLine="8"/>
        <w:spacing w:after="0" w:line="280" w:lineRule="auto"/>
        <w:tabs>
          <w:tab w:leader="none" w:pos="22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described in </w:t>
      </w:r>
      <w:r>
        <w:rPr>
          <w:rFonts w:ascii="Times New Roman" w:cs="Times New Roman" w:eastAsia="Times New Roman" w:hAnsi="Times New Roman"/>
          <w:sz w:val="16"/>
          <w:szCs w:val="16"/>
          <w:u w:val="single" w:color="auto"/>
          <w:color w:val="0000FF"/>
        </w:rPr>
        <w:t>Note 2</w:t>
      </w:r>
      <w:r>
        <w:rPr>
          <w:rFonts w:ascii="Times New Roman" w:cs="Times New Roman" w:eastAsia="Times New Roman" w:hAnsi="Times New Roman"/>
          <w:sz w:val="16"/>
          <w:szCs w:val="16"/>
          <w:color w:val="auto"/>
        </w:rPr>
        <w:t xml:space="preserve"> to these condensed consolidated financial statements, we have restated the condensed consolidated statement of cash flows for the six months ended March 31, 2022.</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Additional</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174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Common Stock</w:t>
            </w:r>
          </w:p>
        </w:tc>
        <w:tc>
          <w:tcPr>
            <w:tcW w:w="17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color w:val="auto"/>
              </w:rPr>
              <w:t>Treasury Stock</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Paid-In</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Par Value</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Value</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(Loss) Income</w:t>
            </w:r>
          </w:p>
        </w:tc>
        <w:tc>
          <w:tcPr>
            <w:tcW w:w="12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3"/>
        </w:trPr>
        <w:tc>
          <w:tcPr>
            <w:tcW w:w="33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December 31, 2021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41,413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372,797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474,032</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 issuances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46"/>
        </w:trPr>
        <w:tc>
          <w:tcPr>
            <w:tcW w:w="33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Taxes paid for net share settlement of share-based</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awards</w:t>
            </w: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stock under stock award plans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March 31, 2022</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41,525</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(58,310)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376,579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184,726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(22,906)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480,504</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September 30, 2021</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40,653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6,391</w:t>
            </w:r>
          </w:p>
        </w:tc>
        <w:tc>
          <w:tcPr>
            <w:tcW w:w="100" w:type="dxa"/>
            <w:vAlign w:val="bottom"/>
          </w:tcPr>
          <w:p>
            <w:pPr>
              <w:spacing w:after="0"/>
              <w:rPr>
                <w:sz w:val="16"/>
                <w:szCs w:val="16"/>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(56,535)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370,699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180,692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(22,746)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472,517</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 issuances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0" w:type="dxa"/>
            <w:vAlign w:val="bottom"/>
          </w:tcPr>
          <w:p>
            <w:pPr>
              <w:spacing w:after="0"/>
              <w:rPr>
                <w:sz w:val="1"/>
                <w:szCs w:val="1"/>
                <w:color w:val="auto"/>
              </w:rPr>
            </w:pPr>
          </w:p>
        </w:tc>
      </w:tr>
      <w:tr>
        <w:trPr>
          <w:trHeight w:val="139"/>
        </w:trPr>
        <w:tc>
          <w:tcPr>
            <w:tcW w:w="33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paid for net share settlement of share-based</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(4,299)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(6,408)</w:t>
            </w:r>
          </w:p>
        </w:tc>
        <w:tc>
          <w:tcPr>
            <w:tcW w:w="0" w:type="dxa"/>
            <w:vAlign w:val="bottom"/>
          </w:tcPr>
          <w:p>
            <w:pPr>
              <w:spacing w:after="0"/>
              <w:rPr>
                <w:sz w:val="1"/>
                <w:szCs w:val="1"/>
                <w:color w:val="auto"/>
              </w:rPr>
            </w:pPr>
          </w:p>
        </w:tc>
      </w:tr>
      <w:tr>
        <w:trPr>
          <w:trHeight w:val="19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awards</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under stock award plans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5,591</w:t>
            </w:r>
          </w:p>
        </w:tc>
        <w:tc>
          <w:tcPr>
            <w:tcW w:w="0" w:type="dxa"/>
            <w:vAlign w:val="bottom"/>
          </w:tcPr>
          <w:p>
            <w:pPr>
              <w:spacing w:after="0"/>
              <w:rPr>
                <w:sz w:val="1"/>
                <w:szCs w:val="1"/>
                <w:color w:val="auto"/>
              </w:rPr>
            </w:pPr>
          </w:p>
        </w:tc>
      </w:tr>
      <w:tr>
        <w:trPr>
          <w:trHeight w:val="196"/>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4,259</w:t>
            </w:r>
          </w:p>
        </w:tc>
        <w:tc>
          <w:tcPr>
            <w:tcW w:w="0" w:type="dxa"/>
            <w:vAlign w:val="bottom"/>
          </w:tcPr>
          <w:p>
            <w:pPr>
              <w:spacing w:after="0"/>
              <w:rPr>
                <w:sz w:val="1"/>
                <w:szCs w:val="1"/>
                <w:color w:val="auto"/>
              </w:rPr>
            </w:pPr>
          </w:p>
        </w:tc>
      </w:tr>
      <w:tr>
        <w:trPr>
          <w:trHeight w:val="22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March 31, 2022</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376,579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480,504</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December 31, 2022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42,199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389,390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(24,765)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509,928</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5,899</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 issuances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0" w:type="dxa"/>
            <w:vAlign w:val="bottom"/>
          </w:tcPr>
          <w:p>
            <w:pPr>
              <w:spacing w:after="0"/>
              <w:rPr>
                <w:sz w:val="1"/>
                <w:szCs w:val="1"/>
                <w:color w:val="auto"/>
              </w:rPr>
            </w:pPr>
          </w:p>
        </w:tc>
      </w:tr>
      <w:tr>
        <w:trPr>
          <w:trHeight w:val="146"/>
        </w:trPr>
        <w:tc>
          <w:tcPr>
            <w:tcW w:w="33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Taxes paid for net share settlement of share-based</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options and awards</w:t>
            </w: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stock under stock award plans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w:t>
            </w: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March 31, 2023</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42,325</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(61,446)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394,036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211,753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(24,587)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520,179</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September 30, 2022</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41,950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6,413</w:t>
            </w:r>
          </w:p>
        </w:tc>
        <w:tc>
          <w:tcPr>
            <w:tcW w:w="100" w:type="dxa"/>
            <w:vAlign w:val="bottom"/>
          </w:tcPr>
          <w:p>
            <w:pPr>
              <w:spacing w:after="0"/>
              <w:rPr>
                <w:sz w:val="16"/>
                <w:szCs w:val="16"/>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(58,172)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385,244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200,075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(26,054)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501,513</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11,678</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 issuances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0" w:type="dxa"/>
            <w:vAlign w:val="bottom"/>
          </w:tcPr>
          <w:p>
            <w:pPr>
              <w:spacing w:after="0"/>
              <w:rPr>
                <w:sz w:val="1"/>
                <w:szCs w:val="1"/>
                <w:color w:val="auto"/>
              </w:rPr>
            </w:pPr>
          </w:p>
        </w:tc>
      </w:tr>
      <w:tr>
        <w:trPr>
          <w:trHeight w:val="139"/>
        </w:trPr>
        <w:tc>
          <w:tcPr>
            <w:tcW w:w="33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paid for net share settlement of share-based</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(3,654)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(3,654)</w:t>
            </w:r>
          </w:p>
        </w:tc>
        <w:tc>
          <w:tcPr>
            <w:tcW w:w="0" w:type="dxa"/>
            <w:vAlign w:val="bottom"/>
          </w:tcPr>
          <w:p>
            <w:pPr>
              <w:spacing w:after="0"/>
              <w:rPr>
                <w:sz w:val="1"/>
                <w:szCs w:val="1"/>
                <w:color w:val="auto"/>
              </w:rPr>
            </w:pPr>
          </w:p>
        </w:tc>
      </w:tr>
      <w:tr>
        <w:trPr>
          <w:trHeight w:val="19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awards</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under stock award plans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0" w:type="dxa"/>
            <w:vAlign w:val="bottom"/>
          </w:tcPr>
          <w:p>
            <w:pPr>
              <w:spacing w:after="0"/>
              <w:rPr>
                <w:sz w:val="1"/>
                <w:szCs w:val="1"/>
                <w:color w:val="auto"/>
              </w:rPr>
            </w:pPr>
          </w:p>
        </w:tc>
      </w:tr>
      <w:tr>
        <w:trPr>
          <w:trHeight w:val="196"/>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6,333</w:t>
            </w:r>
          </w:p>
        </w:tc>
        <w:tc>
          <w:tcPr>
            <w:tcW w:w="0" w:type="dxa"/>
            <w:vAlign w:val="bottom"/>
          </w:tcPr>
          <w:p>
            <w:pPr>
              <w:spacing w:after="0"/>
              <w:rPr>
                <w:sz w:val="1"/>
                <w:szCs w:val="1"/>
                <w:color w:val="auto"/>
              </w:rPr>
            </w:pPr>
          </w:p>
        </w:tc>
      </w:tr>
      <w:tr>
        <w:trPr>
          <w:trHeight w:val="22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March 31, 2023</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394,036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520,179</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right="380" w:firstLine="8"/>
        <w:spacing w:after="0" w:line="282"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 OF UNAUDITED INTERIM CONDENSED CONSOLIDATED FINANCIAL STATEMENTS AND SIGNIFICANT ACCOUNTING POLICIES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87" w:lineRule="exact"/>
        <w:rPr>
          <w:sz w:val="20"/>
          <w:szCs w:val="20"/>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unaudited condensed consolidated financial statements of Digi International Inc. ("we", "us", "our", "Digi" or "the Company") have been prepared in accordance with the rules and regulations of the United States Securities and Exchange Commission applicable to interim financial statements. While these financial statements reflect all normal recurring adjustments that are, in the opinion of management, necessary for fair presentation of the results of the interim period, they do not include all of the information and footnotes required by U.S. generally accepted accounting principles ("GAAP") for complete financial statements. These financial statements should be read in conjunction with the financial statement disclosures in Part I, Item 1 of our Annual Report on </w:t>
      </w:r>
      <w:hyperlink r:id="rId18">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September 30, 2022 (the "2022 Financial Statements"). We use the same accounting policies in preparing quarterly and annual financial statements. The quarterly results of operations are not necessarily indicative of the results to be expected for the full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RESTATEMENT OF PREVIOUSLY ISSUED FINANCIAL STATEMENTS</w:t>
      </w:r>
    </w:p>
    <w:p>
      <w:pPr>
        <w:spacing w:after="0" w:line="18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condensed consolidated statement of cash flows for the six months ended March 31, 2022 has been restated for errors made with regard to the cash flow classification of debt issuance costs and debt issuance cost amortization.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Immaterial Correction of Prior Period Financial Statements</w:t>
      </w:r>
    </w:p>
    <w:p>
      <w:pPr>
        <w:spacing w:after="0" w:line="20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Subsequent to the issuance of the Company's financial statements for the quarter ended March 31, 2022, the Company made certain corrections in the condensed consolidated statements of cash flows related to the debt issuance costs associated with our second and third amended and restated credit agreement entered into in November and December 2021, respectively. We corrected $13.4 million of debt issuance cost previously recorded within changes in operating assets and liabilities (net of acquisitions) within the operating activities and correctly presented the cash outflows as payments of debt issuance costs within financing activities. We also corrected $2.3 million of amortization of debt issuance costs previously included in payments on long-term debt within financing activities and changes in operating assets and liabilities (net of acquisitions) within operating activities to amortization within operating activities. There was no impact to the condensed consolidated balance sheets, condensed consolidated statements of operations or condensed consolidated statements of comprehensive income as a result of these corrections. The Company determined that this restatement was not material to the condensed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EARNINGS PER SHARE</w:t>
      </w:r>
    </w:p>
    <w:p>
      <w:pPr>
        <w:spacing w:after="0" w:line="18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the numerators and denominators in the net income per common share calculations (in thousands, except per common share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300" w:type="dxa"/>
            <w:vAlign w:val="bottom"/>
          </w:tcPr>
          <w:p>
            <w:pPr>
              <w:spacing w:after="0"/>
              <w:rPr>
                <w:sz w:val="20"/>
                <w:szCs w:val="20"/>
                <w:color w:val="auto"/>
              </w:rPr>
            </w:pPr>
          </w:p>
        </w:tc>
        <w:tc>
          <w:tcPr>
            <w:tcW w:w="280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49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w:t>
            </w:r>
          </w:p>
        </w:tc>
      </w:tr>
      <w:tr>
        <w:trPr>
          <w:trHeight w:val="46"/>
        </w:trPr>
        <w:tc>
          <w:tcPr>
            <w:tcW w:w="49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29"/>
        </w:trPr>
        <w:tc>
          <w:tcPr>
            <w:tcW w:w="49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r>
      <w:tr>
        <w:trPr>
          <w:trHeight w:val="176"/>
        </w:trPr>
        <w:tc>
          <w:tcPr>
            <w:tcW w:w="49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Denominator for basic net income per common share — weighted</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average shares outstanding</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34,785</w:t>
            </w:r>
          </w:p>
        </w:tc>
      </w:tr>
      <w:tr>
        <w:trPr>
          <w:trHeight w:val="230"/>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options and restricted stock units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156"/>
        </w:trPr>
        <w:tc>
          <w:tcPr>
            <w:tcW w:w="494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Denominator for diluted net income per common share —</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77"/>
        </w:trPr>
        <w:tc>
          <w:tcPr>
            <w:tcW w:w="4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adjusted weighted average shares</w:t>
            </w:r>
          </w:p>
        </w:tc>
        <w:tc>
          <w:tcPr>
            <w:tcW w:w="26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36,730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35,608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36,821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35,710</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 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55"/>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 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 excludes certain stock options and restricted stock unit awards that would have an anti-dilutive effect on our diluted net income per share calculation.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2023 and 2022, 609,017 and 1,129,393 shares outstanding were excluded, respectively. For the six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2023 and 2022, 416,307 and 735,611 shares outstanding were excluded,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4. SELECTED BALANCE SHEET DATA</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selected balance sheet data (in thousands):</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31,</w:t>
            </w:r>
          </w:p>
        </w:tc>
        <w:tc>
          <w:tcPr>
            <w:tcW w:w="20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9"/>
        </w:trPr>
        <w:tc>
          <w:tcPr>
            <w:tcW w:w="78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53,571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58,967</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reserve for future credit returns and pricing adjustments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50,450</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39,189</w:t>
            </w: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33,442</w:t>
            </w: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83,065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73,223</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FAIR VALUE MEASUREMENTS</w:t>
      </w:r>
    </w:p>
    <w:p>
      <w:pPr>
        <w:spacing w:after="0" w:line="18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are classified in the following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assets or liabilities that are measured at fair value on a recurring basis as of March 31, 2023 or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FAIR VALUE MEASUREMENTS (CONTINUED)</w:t>
      </w:r>
    </w:p>
    <w:p>
      <w:pPr>
        <w:spacing w:after="0" w:line="198"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contingent consideration liability measured at fair value on a recurring basis using significant unobservable inputs (Level 3)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322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43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136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360" w:type="dxa"/>
            <w:vAlign w:val="bottom"/>
          </w:tcPr>
          <w:p>
            <w:pPr>
              <w:spacing w:after="0"/>
              <w:rPr>
                <w:sz w:val="19"/>
                <w:szCs w:val="19"/>
                <w:color w:val="auto"/>
              </w:rPr>
            </w:pP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360" w:type="dxa"/>
            <w:vAlign w:val="bottom"/>
            <w:tcBorders>
              <w:top w:val="single" w:sz="8" w:color="auto"/>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our acquisition of Haxiot, Inc. ("Haxiot") in March 2021, we agreed to make contingent earn-out payments, based upon certain revenue thresholds. The fair value of the remaining liability for contingent consideration for the acquisition of Haxiot was $0.0 million at March 31, 2023 and September 30, 2022.</w:t>
      </w:r>
    </w:p>
    <w:p>
      <w:pPr>
        <w:spacing w:after="0" w:line="149"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In connection with our acquisition of Ctek, Inc. ("Ctek") in July 2021, we agreed to make contingent earn-out payments, based upon certain revenue thresholds. The fair value of the remaining liability for contingent consideration for the acquisition of Ctek was $0.0 million at March 31, 2023 and September 30, 2022.</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change in fair value of contingent consideration reflects our estimates of the probabilities of achieving the relevant targets and is discounted based on our estimated discount rate. The fair value of the contingent consideration at March 31, 2023 is based on the probability of achieving the specified revenue thresholds for Ctek. As of March 31, 2023, contingent consideration associated with Ctek remains subject to future performance through December 31, 2023.</w:t>
      </w:r>
    </w:p>
    <w:p>
      <w:pPr>
        <w:spacing w:after="0" w:line="153" w:lineRule="exact"/>
        <w:rPr>
          <w:sz w:val="20"/>
          <w:szCs w:val="20"/>
          <w:color w:val="auto"/>
        </w:rPr>
      </w:pPr>
    </w:p>
    <w:p>
      <w:pPr>
        <w:ind w:right="6740" w:firstLine="8"/>
        <w:spacing w:after="0" w:line="430" w:lineRule="auto"/>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OTHER INTANGIBLE ASSETS, NET Amortizable intangible assets were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March 31, 2023</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6"/>
          </w:tcPr>
          <w:p>
            <w:pPr>
              <w:jc w:val="center"/>
              <w:ind w:right="110"/>
              <w:spacing w:after="0"/>
              <w:rPr>
                <w:sz w:val="20"/>
                <w:szCs w:val="20"/>
                <w:color w:val="auto"/>
              </w:rPr>
            </w:pPr>
            <w:r>
              <w:rPr>
                <w:rFonts w:ascii="Times New Roman" w:cs="Times New Roman" w:eastAsia="Times New Roman" w:hAnsi="Times New Roman"/>
                <w:sz w:val="18"/>
                <w:szCs w:val="18"/>
                <w:color w:val="auto"/>
              </w:rPr>
              <w:t>September 30, 2022</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9"/>
              </w:rPr>
              <w:t>Accum.</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color w:val="auto"/>
                <w:w w:val="99"/>
              </w:rPr>
              <w:t>Gross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rPr>
              <w:t>Accum.</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amount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amort.</w:t>
            </w:r>
          </w:p>
        </w:tc>
        <w:tc>
          <w:tcPr>
            <w:tcW w:w="260" w:type="dxa"/>
            <w:vAlign w:val="bottom"/>
          </w:tcPr>
          <w:p>
            <w:pPr>
              <w:spacing w:after="0"/>
              <w:rPr>
                <w:sz w:val="21"/>
                <w:szCs w:val="21"/>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180" w:type="dxa"/>
            <w:vAlign w:val="bottom"/>
          </w:tcPr>
          <w:p>
            <w:pPr>
              <w:spacing w:after="0"/>
              <w:rPr>
                <w:sz w:val="21"/>
                <w:szCs w:val="21"/>
                <w:color w:val="auto"/>
              </w:rPr>
            </w:pP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amount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amort.</w:t>
            </w:r>
          </w:p>
        </w:tc>
        <w:tc>
          <w:tcPr>
            <w:tcW w:w="260" w:type="dxa"/>
            <w:vAlign w:val="bottom"/>
          </w:tcPr>
          <w:p>
            <w:pPr>
              <w:spacing w:after="0"/>
              <w:rPr>
                <w:sz w:val="21"/>
                <w:szCs w:val="21"/>
                <w:color w:val="auto"/>
              </w:rPr>
            </w:pP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and core technology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85,037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85,016</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29,162</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agreements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trademarks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22,045</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309,212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250,857</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435,651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302,064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Amortization expense was $6.2 million and $7.0 million for the three months ended March 31, 2023 and 2022. Amortization expense was $12.7 million and $13.4 million for the six months ended March 31, 2023 and 2022, respectively. Amortization expense is recorded on our condensed consolidated statements of operations within cost of sales and in general and administrative expense.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related to intangible assets for the remainder of fiscal 2023 and the five succeeding fiscal years is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(six months)</w:t>
            </w:r>
          </w:p>
        </w:tc>
        <w:tc>
          <w:tcPr>
            <w:tcW w:w="69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13,317</w:t>
            </w:r>
          </w:p>
        </w:tc>
        <w:tc>
          <w:tcPr>
            <w:tcW w:w="20" w:type="dxa"/>
            <w:vAlign w:val="bottom"/>
          </w:tcPr>
          <w:p>
            <w:pPr>
              <w:spacing w:after="0"/>
              <w:rPr>
                <w:sz w:val="19"/>
                <w:szCs w:val="19"/>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9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25,227</w:t>
            </w:r>
          </w:p>
        </w:tc>
        <w:tc>
          <w:tcPr>
            <w:tcW w:w="20" w:type="dxa"/>
            <w:vAlign w:val="bottom"/>
          </w:tcPr>
          <w:p>
            <w:pPr>
              <w:spacing w:after="0"/>
              <w:rPr>
                <w:sz w:val="19"/>
                <w:szCs w:val="19"/>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9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21,771</w:t>
            </w:r>
          </w:p>
        </w:tc>
        <w:tc>
          <w:tcPr>
            <w:tcW w:w="20" w:type="dxa"/>
            <w:vAlign w:val="bottom"/>
          </w:tcPr>
          <w:p>
            <w:pPr>
              <w:spacing w:after="0"/>
              <w:rPr>
                <w:sz w:val="19"/>
                <w:szCs w:val="19"/>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9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20,593</w:t>
            </w:r>
          </w:p>
        </w:tc>
        <w:tc>
          <w:tcPr>
            <w:tcW w:w="20" w:type="dxa"/>
            <w:vAlign w:val="bottom"/>
          </w:tcPr>
          <w:p>
            <w:pPr>
              <w:spacing w:after="0"/>
              <w:rPr>
                <w:sz w:val="19"/>
                <w:szCs w:val="19"/>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9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20,593</w:t>
            </w:r>
          </w:p>
        </w:tc>
        <w:tc>
          <w:tcPr>
            <w:tcW w:w="20" w:type="dxa"/>
            <w:vAlign w:val="bottom"/>
          </w:tcPr>
          <w:p>
            <w:pPr>
              <w:spacing w:after="0"/>
              <w:rPr>
                <w:sz w:val="19"/>
                <w:szCs w:val="19"/>
                <w:color w:val="auto"/>
              </w:rPr>
            </w:pPr>
          </w:p>
        </w:tc>
      </w:tr>
      <w:tr>
        <w:trPr>
          <w:trHeight w:val="23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9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20,411</w:t>
            </w:r>
          </w:p>
        </w:tc>
        <w:tc>
          <w:tcPr>
            <w:tcW w:w="20" w:type="dxa"/>
            <w:vAlign w:val="bottom"/>
          </w:tcPr>
          <w:p>
            <w:pPr>
              <w:spacing w:after="0"/>
              <w:rPr>
                <w:sz w:val="20"/>
                <w:szCs w:val="20"/>
                <w:color w:val="auto"/>
              </w:rPr>
            </w:pPr>
          </w:p>
        </w:tc>
      </w:tr>
      <w:tr>
        <w:trPr>
          <w:trHeight w:val="846"/>
        </w:trPr>
        <w:tc>
          <w:tcPr>
            <w:tcW w:w="3460" w:type="dxa"/>
            <w:vAlign w:val="bottom"/>
          </w:tcPr>
          <w:p>
            <w:pPr>
              <w:spacing w:after="0"/>
              <w:rPr>
                <w:sz w:val="24"/>
                <w:szCs w:val="24"/>
                <w:color w:val="auto"/>
              </w:rPr>
            </w:pPr>
          </w:p>
        </w:tc>
        <w:tc>
          <w:tcPr>
            <w:tcW w:w="6900" w:type="dxa"/>
            <w:vAlign w:val="bottom"/>
          </w:tcPr>
          <w:p>
            <w:pPr>
              <w:jc w:val="right"/>
              <w:ind w:right="4610"/>
              <w:spacing w:after="0"/>
              <w:rPr>
                <w:sz w:val="20"/>
                <w:szCs w:val="20"/>
                <w:color w:val="auto"/>
              </w:rPr>
            </w:pPr>
            <w:r>
              <w:rPr>
                <w:rFonts w:ascii="Times New Roman" w:cs="Times New Roman" w:eastAsia="Times New Roman" w:hAnsi="Times New Roman"/>
                <w:sz w:val="18"/>
                <w:szCs w:val="18"/>
                <w:color w:val="auto"/>
              </w:rPr>
              <w:t>8</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69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966"/>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 GOODWILL AND OTHER INTANGIBLE ASSETS, NET (CONTINUED)</w:t>
            </w: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0"/>
        </w:trPr>
        <w:tc>
          <w:tcPr>
            <w:tcW w:w="7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segments are (in thousands):</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1"/>
        </w:trPr>
        <w:tc>
          <w:tcPr>
            <w:tcW w:w="12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color w:val="auto"/>
              </w:rPr>
              <w:t>Three months ended March 31, 2023</w:t>
            </w:r>
          </w:p>
        </w:tc>
        <w:tc>
          <w:tcPr>
            <w:tcW w:w="1260" w:type="dxa"/>
            <w:vAlign w:val="bottom"/>
            <w:tcBorders>
              <w:bottom w:val="single" w:sz="8" w:color="auto"/>
            </w:tcBorders>
          </w:tcPr>
          <w:p>
            <w:pPr>
              <w:spacing w:after="0"/>
              <w:rPr>
                <w:sz w:val="24"/>
                <w:szCs w:val="24"/>
                <w:color w:val="auto"/>
              </w:rPr>
            </w:pPr>
          </w:p>
        </w:tc>
      </w:tr>
      <w:tr>
        <w:trPr>
          <w:trHeight w:val="169"/>
        </w:trPr>
        <w:tc>
          <w:tcPr>
            <w:tcW w:w="12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gridSpan w:val="2"/>
          </w:tcPr>
          <w:p>
            <w:pPr>
              <w:jc w:val="center"/>
              <w:ind w:right="400"/>
              <w:spacing w:after="0" w:line="169" w:lineRule="exact"/>
              <w:rPr>
                <w:sz w:val="20"/>
                <w:szCs w:val="20"/>
                <w:color w:val="auto"/>
              </w:rPr>
            </w:pPr>
            <w:r>
              <w:rPr>
                <w:rFonts w:ascii="Times New Roman" w:cs="Times New Roman" w:eastAsia="Times New Roman" w:hAnsi="Times New Roman"/>
                <w:sz w:val="18"/>
                <w:szCs w:val="18"/>
                <w:color w:val="auto"/>
                <w:w w:val="99"/>
              </w:rPr>
              <w:t>IoT</w:t>
            </w:r>
          </w:p>
        </w:tc>
        <w:tc>
          <w:tcPr>
            <w:tcW w:w="300" w:type="dxa"/>
            <w:vAlign w:val="bottom"/>
          </w:tcPr>
          <w:p>
            <w:pPr>
              <w:spacing w:after="0"/>
              <w:rPr>
                <w:sz w:val="14"/>
                <w:szCs w:val="14"/>
                <w:color w:val="auto"/>
              </w:rPr>
            </w:pPr>
          </w:p>
        </w:tc>
        <w:tc>
          <w:tcPr>
            <w:tcW w:w="1460" w:type="dxa"/>
            <w:vAlign w:val="bottom"/>
            <w:gridSpan w:val="2"/>
          </w:tcPr>
          <w:p>
            <w:pPr>
              <w:jc w:val="center"/>
              <w:ind w:right="400"/>
              <w:spacing w:after="0" w:line="169" w:lineRule="exact"/>
              <w:rPr>
                <w:sz w:val="20"/>
                <w:szCs w:val="20"/>
                <w:color w:val="auto"/>
              </w:rPr>
            </w:pPr>
            <w:r>
              <w:rPr>
                <w:rFonts w:ascii="Times New Roman" w:cs="Times New Roman" w:eastAsia="Times New Roman" w:hAnsi="Times New Roman"/>
                <w:sz w:val="18"/>
                <w:szCs w:val="18"/>
                <w:color w:val="auto"/>
                <w:w w:val="99"/>
              </w:rPr>
              <w:t>IoT</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43"/>
        </w:trPr>
        <w:tc>
          <w:tcPr>
            <w:tcW w:w="128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Products &amp; Services</w:t>
            </w:r>
          </w:p>
        </w:tc>
        <w:tc>
          <w:tcPr>
            <w:tcW w:w="300" w:type="dxa"/>
            <w:vAlign w:val="bottom"/>
          </w:tcPr>
          <w:p>
            <w:pPr>
              <w:spacing w:after="0"/>
              <w:rPr>
                <w:sz w:val="21"/>
                <w:szCs w:val="21"/>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Solutions</w:t>
            </w:r>
          </w:p>
        </w:tc>
        <w:tc>
          <w:tcPr>
            <w:tcW w:w="380" w:type="dxa"/>
            <w:vAlign w:val="bottom"/>
          </w:tcPr>
          <w:p>
            <w:pPr>
              <w:spacing w:after="0"/>
              <w:rPr>
                <w:sz w:val="21"/>
                <w:szCs w:val="21"/>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4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September 30, 2022</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172,931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167,546</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340,477</w:t>
            </w:r>
          </w:p>
        </w:tc>
      </w:tr>
      <w:tr>
        <w:trPr>
          <w:trHeight w:val="230"/>
        </w:trPr>
        <w:tc>
          <w:tcPr>
            <w:tcW w:w="5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r>
      <w:tr>
        <w:trPr>
          <w:trHeight w:val="248"/>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March 31, 2023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341,862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Goodwill represents the excess of cost over the fair value of net identifiable assets acquired. Goodwill is quantitatively tested for impairment on an annual basis as of June 30, or more frequently if events or circumstances occur which could indicate impairment. We continue to have two reportable segments, our IoT Products &amp; Services segment and our IoT Solutions segment (see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 Our IoT Products &amp; Services business is structured to include four reporting units under the IoT Products &amp; Services segment, each with a reporting manager: Cellular Routers, Console Servers, OEM Solutions and Infrastructure Management. Following our acquisition of Ventus in November 2021, we have two reporting units within our IoT Solutions segment: SmartSense and Ventus. Each of these segments was tested individually for impairment during our annual impairment test completed in the third fiscal quarter of fiscal 2022.</w:t>
      </w:r>
    </w:p>
    <w:p>
      <w:pPr>
        <w:spacing w:after="0" w:line="21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Assumptions and estimates to determine fair values under the income and market approaches are complex and often subjective. They can be affected by a variety of factors. These include external factors such as industry and economic trends. They also include internal factors such as changes in our business strategy and our internal forecasts. Changes in circumstances or a potential event could negatively affect the estimated fair values. If our future operating results do not meet current forecasts or if we experience a sustained decline in our market capitalization that is determined to be indicative of a reduction in fair value of one or more of our reporting units, we may be required to record future impairment charges for goodwill.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our Fiscal 2022 Annual Impairment Test</w:t>
      </w:r>
    </w:p>
    <w:p>
      <w:pPr>
        <w:spacing w:after="0" w:line="20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As of June 30, 2022, we had a total of $32.7 million of goodwill for the Enterprise Routers reporting unit, $57.1 million of goodwill for the Console Servers reporting unit, $63.7 million of goodwill for the OEM Solutions reporting unit, $20.4 million of goodwill for the Infrastructure Management reporting unit, $49.5 million of goodwill for the SmartSense reporting unit and $118.3 million of goodwill for the Ventus reporting unit. At June 30, 2022, the fair value of goodwill exceeded the carrying value for all six reporting units. SmartSense and Ventus fair values exceeded carrying values by less than 10%. Implied fair value for each reporting unit was calculated on a standalone basis using a weighted combination of the income approach and market approach. The implied fair values of each reporting unit were added together along with our unallocated assets to get an indicated value of total equity to which a range of indicated value of total equity was derived. This range was compared to the total market capitalization of $852.0 million as of June 30, 2022. This implied a range of control (deficit)/ premiums of (5.6)% to 7.9%. This range of control premiums fell below the control premiums observed in the last five years in the communications equipment industry. As a result, the market capitalization reconciliation analysis proved support for the reasonableness of the fair values estimated for each individual reporting unit.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INDEBTEDNESS</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November 1, 2021, we entered into a second amended and restated credit agreement with BMO Harris Bank N.A. ("BMO"). This agreement provides us with a senior secured credit facility (the "Credit Facility") consisting of a $350 million term loan B secured loan (the “Term Loan Facility”) and a $35 million revolving credit facility (the “Revolving Loan Facility”) with an uncommitted option to increase incremental loans under the Credit Facility, subject to an incremental cap. The Revolving Loan Facility includes a $10 million letter of credit subfacility and $10 million swingline subfacility. Digi may use proceeds of the Revolving Loan Facility in the future for general corporate purposes. This loan replaced our syndicated senior secured credit agreement with BMO that was entered into on March 15, 2021 and replaced the remaining balance of our revolver with this new term loan. This prior agreement provided us with a committed credit facility ("Prior Credit Facility") consisting of a $200 million revolving loan.</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December 22, 2021, Digi entered into a third amended and restated credit agreement with BMO. Digi refinanced the Term Loan Facility and Revolving Loan Facility under its existing credit agreement entered into on November 1, 2021, but did not receive any additional proceeds from nor modify the amounts of any facilities or subfacilities contained within that credit agreement.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INDEBTEDNESS (CONTINUED)</w:t>
      </w:r>
    </w:p>
    <w:p>
      <w:pPr>
        <w:spacing w:after="0" w:line="19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Following the December amendment, borrowings under the Term Loan Facility bear interest at a rate per annum equal to LIBOR with a floor of 0.50% for an interest period of one, three or six months as selected by Digi, reset at the end of the selected interest period (or a replacement benchmark rate if LIBOR is no longer available) plus 5.00% or a base rate plus 4.00%. The base rate is determined by reference to the highest of BMO’s prime rate, the Federal Funds Effective Rate plus 0.50%, or the one-month LIBOR for U.S. dollars plus 1.00%. The applicable margin for loans under the Revolving Credit Facility is in a range of 4.00% to 3.75% for LIBOR loans and 3.00% to 2.75% for base rate loans, depending on Digi’s consolidated leverage ratio. In addition to paying interest on the outstanding balance under the Credit Facility, we are required to pay a commitment fee on the non-utilized commitments thereunder, which is also reported in interest expense. Digi elected an interest period of one month for the months of December 2021 through April 2022 and a period of six months effective May 1, 2022. Following the expiration of the election on October 31, 2022, Digi elected an interest period of one month, effective on November 1, 2022 and has elected the same periods each subsequent month. Our weighted average interest rate at March 31, 2023 was 8.62%.</w:t>
      </w:r>
    </w:p>
    <w:p>
      <w:pPr>
        <w:spacing w:after="0" w:line="15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The debt issuance costs and remaining balance under the Prior Credit Facility totaled $2.3 million at November 1, 2021. Of this amount $1.9 million was written off and included in interest expense upon the entry into the new amendment and $0.4 million is being amortized over the term of the amended loan and reported in interest expense. Digi incurred an additional $11.7 million and $1.7 million in debt issuance costs relating to the November 1, 2021 and December 22, 2021 amendments, respectively. These amounts are being amortized over the term of the amended loan and reported in interest expense.</w:t>
      </w:r>
    </w:p>
    <w:p>
      <w:pPr>
        <w:spacing w:after="0" w:line="12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Term Loan is payable in quarterly installments, with the balance remaining due on November 2, 2028. The Revolving Loan is due in a lump sum payment at maturity on November 2, 2028, if any amounts are drawn. The fair value of the Term Loan and Revolving Loan approximated carrying value at March 31,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 made early payments against the term loan of $0.6 million and $61.3 million in six months ended March 31, 2023 and 2022,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is a summary of our long-term indebtedness at March 31, 2023 and September 30, 2022 (in thousands):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97"/>
        </w:trPr>
        <w:tc>
          <w:tcPr>
            <w:tcW w:w="6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on September 30,</w:t>
            </w:r>
          </w:p>
        </w:tc>
      </w:tr>
      <w:tr>
        <w:trPr>
          <w:trHeight w:val="243"/>
        </w:trPr>
        <w:tc>
          <w:tcPr>
            <w:tcW w:w="6780" w:type="dxa"/>
            <w:vAlign w:val="bottom"/>
            <w:tcBorders>
              <w:bottom w:val="single" w:sz="8" w:color="CCEEFF"/>
            </w:tcBorders>
          </w:tcPr>
          <w:p>
            <w:pPr>
              <w:spacing w:after="0"/>
              <w:rPr>
                <w:sz w:val="21"/>
                <w:szCs w:val="21"/>
                <w:color w:val="auto"/>
              </w:rPr>
            </w:pPr>
          </w:p>
        </w:tc>
        <w:tc>
          <w:tcPr>
            <w:tcW w:w="21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Balance on March 31, 2023</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Borders>
              <w:bottom w:val="single" w:sz="8" w:color="auto"/>
            </w:tcBorders>
          </w:tcPr>
          <w:p>
            <w:pPr>
              <w:spacing w:after="0"/>
              <w:rPr>
                <w:sz w:val="21"/>
                <w:szCs w:val="2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9"/>
              </w:rPr>
              <w:t>240,625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250,000</w:t>
            </w:r>
          </w:p>
        </w:tc>
        <w:tc>
          <w:tcPr>
            <w:tcW w:w="40" w:type="dxa"/>
            <w:vAlign w:val="bottom"/>
            <w:shd w:val="clear" w:color="auto" w:fill="CCEEFF"/>
          </w:tcPr>
          <w:p>
            <w:pPr>
              <w:spacing w:after="0"/>
              <w:rPr>
                <w:sz w:val="19"/>
                <w:szCs w:val="19"/>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issuance costs</w:t>
            </w:r>
          </w:p>
        </w:tc>
        <w:tc>
          <w:tcPr>
            <w:tcW w:w="820" w:type="dxa"/>
            <w:vAlign w:val="bottom"/>
          </w:tcPr>
          <w:p>
            <w:pPr>
              <w:spacing w:after="0"/>
              <w:rPr>
                <w:sz w:val="19"/>
                <w:szCs w:val="19"/>
                <w:color w:val="auto"/>
              </w:rPr>
            </w:pPr>
          </w:p>
        </w:tc>
        <w:tc>
          <w:tcPr>
            <w:tcW w:w="13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(11,040)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(12,029)</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8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(15,523)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(15,523)</w:t>
            </w:r>
          </w:p>
        </w:tc>
      </w:tr>
      <w:tr>
        <w:trPr>
          <w:trHeight w:val="223"/>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9"/>
              </w:rPr>
              <w:t>214,062</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222,448</w:t>
            </w:r>
          </w:p>
        </w:tc>
        <w:tc>
          <w:tcPr>
            <w:tcW w:w="40" w:type="dxa"/>
            <w:vAlign w:val="bottom"/>
            <w:tcBorders>
              <w:bottom w:val="single" w:sz="8" w:color="auto"/>
            </w:tcBorders>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1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507"/>
        </w:trPr>
        <w:tc>
          <w:tcPr>
            <w:tcW w:w="8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is a summary of future maturities of our aggregate long-term debt at March 31, 2023 (in thousands):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0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Amount</w:t>
            </w:r>
          </w:p>
        </w:tc>
      </w:tr>
      <w:tr>
        <w:trPr>
          <w:trHeight w:val="223"/>
        </w:trPr>
        <w:tc>
          <w:tcPr>
            <w:tcW w:w="6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(six months)</w:t>
            </w:r>
          </w:p>
        </w:tc>
        <w:tc>
          <w:tcPr>
            <w:tcW w:w="8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40" w:type="dxa"/>
            <w:vAlign w:val="bottom"/>
          </w:tcPr>
          <w:p>
            <w:pPr>
              <w:spacing w:after="0"/>
              <w:rPr>
                <w:sz w:val="19"/>
                <w:szCs w:val="19"/>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40" w:type="dxa"/>
            <w:vAlign w:val="bottom"/>
          </w:tcPr>
          <w:p>
            <w:pPr>
              <w:spacing w:after="0"/>
              <w:rPr>
                <w:sz w:val="19"/>
                <w:szCs w:val="19"/>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40" w:type="dxa"/>
            <w:vAlign w:val="bottom"/>
          </w:tcPr>
          <w:p>
            <w:pPr>
              <w:spacing w:after="0"/>
              <w:rPr>
                <w:sz w:val="19"/>
                <w:szCs w:val="19"/>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40" w:type="dxa"/>
            <w:vAlign w:val="bottom"/>
          </w:tcPr>
          <w:p>
            <w:pPr>
              <w:spacing w:after="0"/>
              <w:rPr>
                <w:sz w:val="19"/>
                <w:szCs w:val="19"/>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40" w:type="dxa"/>
            <w:vAlign w:val="bottom"/>
          </w:tcPr>
          <w:p>
            <w:pPr>
              <w:spacing w:after="0"/>
              <w:rPr>
                <w:sz w:val="19"/>
                <w:szCs w:val="19"/>
                <w:color w:val="auto"/>
              </w:rPr>
            </w:pP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161,875</w:t>
            </w:r>
          </w:p>
        </w:tc>
        <w:tc>
          <w:tcPr>
            <w:tcW w:w="40" w:type="dxa"/>
            <w:vAlign w:val="bottom"/>
          </w:tcPr>
          <w:p>
            <w:pPr>
              <w:spacing w:after="0"/>
              <w:rPr>
                <w:sz w:val="19"/>
                <w:szCs w:val="19"/>
                <w:color w:val="auto"/>
              </w:rPr>
            </w:pP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8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240,625</w:t>
            </w:r>
          </w:p>
        </w:tc>
        <w:tc>
          <w:tcPr>
            <w:tcW w:w="40" w:type="dxa"/>
            <w:vAlign w:val="bottom"/>
          </w:tcPr>
          <w:p>
            <w:pPr>
              <w:spacing w:after="0"/>
              <w:rPr>
                <w:sz w:val="21"/>
                <w:szCs w:val="2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 and Security Interest</w:t>
      </w:r>
    </w:p>
    <w:p>
      <w:pPr>
        <w:spacing w:after="0" w:line="18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agreements governing the Revolving Loan Facility contain a number of covenants. Among other provisions, these covenants require us to maintain a certain financial ratio (net leverage ratio and minimum fixed charge ratio). At March 31, 2023, we had no amounts drawn on the Revolving Loan Facility. Amounts borrowed under the Credit Facility are secured by substantially all of our assets.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SEGMENT INFORMATION</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two reportable segments: IoT Products &amp; Services and IoT Solutions. Our IoT Products &amp; Services business is structured to include four operating segments, each with a segment manager. These four operating segments are:</w:t>
      </w:r>
    </w:p>
    <w:p>
      <w:pPr>
        <w:spacing w:after="0" w:line="135" w:lineRule="exact"/>
        <w:rPr>
          <w:sz w:val="20"/>
          <w:szCs w:val="20"/>
          <w:color w:val="auto"/>
        </w:rPr>
      </w:pPr>
    </w:p>
    <w:p>
      <w:pPr>
        <w:ind w:left="660" w:right="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Cellular Routers - box devices (fully enclosed) that provide connectivity typically in a place where the device can be plugged in exclusively using cellular communications.</w:t>
      </w:r>
    </w:p>
    <w:p>
      <w:pPr>
        <w:spacing w:after="0" w:line="12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Console Servers - similar to cellular routers except they are exclusively for edge computing installations and data center applications (also exclusively using cellular communications).</w:t>
      </w:r>
    </w:p>
    <w:p>
      <w:pPr>
        <w:spacing w:after="0" w:line="12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 Solutions - Original Equipment Manufacturers ("OEM") will be a chip, rather than a boxed device. This can come in the form of a stand-alone module or from a systems-on-module ("SOM"). While cellular connectivity is used, other communication protocols can be used such as Zigbee, Bluetooth or Radio-Frequency ("RF") based on application.</w:t>
      </w:r>
    </w:p>
    <w:p>
      <w:pPr>
        <w:spacing w:after="0" w:line="148"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Management - includes battery operated, cellular enabled connect sensors as well as other types of console server applications that are more Digi Accelerated Linux ("DAL") based than Console Servers. This operating segment has some products that do not use cellular communications, but a large part of this segment does use cellular communications.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acquisition of Ventus on November 1, 2021, IoT Solutions is now comprised of two operating segments:</w:t>
      </w:r>
    </w:p>
    <w:p>
      <w:pPr>
        <w:spacing w:after="0" w:line="185" w:lineRule="exact"/>
        <w:rPr>
          <w:sz w:val="20"/>
          <w:szCs w:val="20"/>
          <w:color w:val="auto"/>
        </w:rPr>
      </w:pPr>
    </w:p>
    <w:p>
      <w:pPr>
        <w:ind w:left="660" w:right="1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SmartSense - offers wireless temperature and other condition-based monitoring services for perishable goods such as food or medicine, as well as employee task management services.</w:t>
      </w:r>
    </w:p>
    <w:p>
      <w:pPr>
        <w:spacing w:after="0" w:line="134"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Ventus - provides Managed Network-as-a-Service ("MNaaS") solutions that simplify the complexity of enterprise wide area network ("WAN") connectivity via wireless and fixed line solutions.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operating segments included in each reportable segment have similar qualitative and quantitative factors, which allow us to aggregate them under each reportable segment. The qualitative factors include similar nature of products and services, production process, type or class of customers and methods used to distribute the products. The quantitative factors include similar operating margins. Our CEO is our Chief Operating Decision Maker and reviews and makes business decisions using consolidated information including operating income and gross profit.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operating results for each of our segments were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8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25,251</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111,144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178,970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 w:type="dxa"/>
            <w:vAlign w:val="bottom"/>
          </w:tcPr>
          <w:p>
            <w:pPr>
              <w:spacing w:after="0"/>
              <w:rPr>
                <w:sz w:val="15"/>
                <w:szCs w:val="15"/>
                <w:color w:val="auto"/>
              </w:rPr>
            </w:pPr>
          </w:p>
        </w:tc>
        <w:tc>
          <w:tcPr>
            <w:tcW w:w="400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15,755</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gross profit</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 w:type="dxa"/>
            <w:vAlign w:val="bottom"/>
          </w:tcPr>
          <w:p>
            <w:pPr>
              <w:spacing w:after="0"/>
              <w:rPr>
                <w:sz w:val="15"/>
                <w:szCs w:val="15"/>
                <w:color w:val="auto"/>
              </w:rPr>
            </w:pPr>
          </w:p>
        </w:tc>
        <w:tc>
          <w:tcPr>
            <w:tcW w:w="400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income</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 w:type="dxa"/>
            <w:vAlign w:val="bottom"/>
          </w:tcPr>
          <w:p>
            <w:pPr>
              <w:spacing w:after="0"/>
              <w:rPr>
                <w:sz w:val="15"/>
                <w:szCs w:val="15"/>
                <w:color w:val="auto"/>
              </w:rPr>
            </w:pPr>
          </w:p>
        </w:tc>
        <w:tc>
          <w:tcPr>
            <w:tcW w:w="400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966"/>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 SEGMENT INFORMATION (CONTINUED)</w:t>
            </w: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05"/>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expended for property, plant and equipment was (in thousands):</w:t>
            </w: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8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56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6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29"/>
        </w:trPr>
        <w:tc>
          <w:tcPr>
            <w:tcW w:w="20" w:type="dxa"/>
            <w:vAlign w:val="bottom"/>
          </w:tcPr>
          <w:p>
            <w:pPr>
              <w:spacing w:after="0"/>
              <w:rPr>
                <w:sz w:val="19"/>
                <w:szCs w:val="19"/>
                <w:color w:val="auto"/>
              </w:rPr>
            </w:pPr>
          </w:p>
        </w:tc>
        <w:tc>
          <w:tcPr>
            <w:tcW w:w="78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Pr>
          <w:p>
            <w:pPr>
              <w:spacing w:after="0"/>
              <w:rPr>
                <w:sz w:val="21"/>
                <w:szCs w:val="21"/>
                <w:color w:val="auto"/>
              </w:rPr>
            </w:pPr>
          </w:p>
        </w:tc>
        <w:tc>
          <w:tcPr>
            <w:tcW w:w="78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expended for property, plant and equipment</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Excluded from this amount is $2,685 and $1,215 of transfers of inventory to property plant and equipment for subscriber assets for the six months ended March 31, 2023 and 2022, respectively.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 for each of our segments were (in thousands):</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97"/>
        </w:trPr>
        <w:tc>
          <w:tcPr>
            <w:tcW w:w="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31,</w:t>
            </w:r>
          </w:p>
        </w:tc>
        <w:tc>
          <w:tcPr>
            <w:tcW w:w="20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9"/>
        </w:trPr>
        <w:tc>
          <w:tcPr>
            <w:tcW w:w="20" w:type="dxa"/>
            <w:vAlign w:val="bottom"/>
          </w:tcPr>
          <w:p>
            <w:pPr>
              <w:spacing w:after="0"/>
              <w:rPr>
                <w:sz w:val="20"/>
                <w:szCs w:val="20"/>
                <w:color w:val="auto"/>
              </w:rPr>
            </w:pPr>
          </w:p>
        </w:tc>
        <w:tc>
          <w:tcPr>
            <w:tcW w:w="78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r>
      <w:tr>
        <w:trPr>
          <w:trHeight w:val="227"/>
        </w:trPr>
        <w:tc>
          <w:tcPr>
            <w:tcW w:w="20" w:type="dxa"/>
            <w:vAlign w:val="bottom"/>
          </w:tcPr>
          <w:p>
            <w:pPr>
              <w:spacing w:after="0"/>
              <w:rPr>
                <w:sz w:val="19"/>
                <w:szCs w:val="19"/>
                <w:color w:val="auto"/>
              </w:rPr>
            </w:pPr>
          </w:p>
        </w:tc>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390,128</w:t>
            </w:r>
          </w:p>
        </w:tc>
      </w:tr>
      <w:tr>
        <w:trPr>
          <w:trHeight w:val="229"/>
        </w:trPr>
        <w:tc>
          <w:tcPr>
            <w:tcW w:w="20" w:type="dxa"/>
            <w:vAlign w:val="bottom"/>
          </w:tcPr>
          <w:p>
            <w:pPr>
              <w:spacing w:after="0"/>
              <w:rPr>
                <w:sz w:val="19"/>
                <w:szCs w:val="19"/>
                <w:color w:val="auto"/>
              </w:rPr>
            </w:pPr>
          </w:p>
        </w:tc>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428,867</w:t>
            </w:r>
          </w:p>
        </w:tc>
      </w:tr>
      <w:tr>
        <w:trPr>
          <w:trHeight w:val="229"/>
        </w:trPr>
        <w:tc>
          <w:tcPr>
            <w:tcW w:w="20" w:type="dxa"/>
            <w:vAlign w:val="bottom"/>
          </w:tcPr>
          <w:p>
            <w:pPr>
              <w:spacing w:after="0"/>
              <w:rPr>
                <w:sz w:val="19"/>
                <w:szCs w:val="19"/>
                <w:color w:val="auto"/>
              </w:rPr>
            </w:pPr>
          </w:p>
        </w:tc>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Unallocated*</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34,900</w:t>
            </w:r>
          </w:p>
        </w:tc>
      </w:tr>
      <w:tr>
        <w:trPr>
          <w:trHeight w:val="223"/>
        </w:trPr>
        <w:tc>
          <w:tcPr>
            <w:tcW w:w="20" w:type="dxa"/>
            <w:vAlign w:val="bottom"/>
          </w:tcPr>
          <w:p>
            <w:pPr>
              <w:spacing w:after="0"/>
              <w:rPr>
                <w:sz w:val="19"/>
                <w:szCs w:val="19"/>
                <w:color w:val="auto"/>
              </w:rPr>
            </w:pPr>
          </w:p>
        </w:tc>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847,748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853,895</w:t>
            </w:r>
          </w:p>
        </w:tc>
      </w:tr>
      <w:tr>
        <w:trPr>
          <w:trHeight w:val="21"/>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*Unallocated consists of cash and cash equivalents.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REVENUE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Disaggregation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 by geographic location of our customers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42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 primarily the United States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140,033</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&amp; Africa</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20,414</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24,874</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14,063</w:t>
            </w:r>
          </w:p>
        </w:tc>
      </w:tr>
      <w:tr>
        <w:trPr>
          <w:trHeight w:val="223"/>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111,144</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94,713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220,450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178,970</w:t>
            </w:r>
          </w:p>
        </w:tc>
      </w:tr>
      <w:tr>
        <w:trPr>
          <w:trHeight w:val="20"/>
        </w:trPr>
        <w:tc>
          <w:tcPr>
            <w:tcW w:w="4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 by the timing of revenue recognition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42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139,191</w:t>
            </w: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24,056</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39,779</w:t>
            </w:r>
          </w:p>
        </w:tc>
      </w:tr>
      <w:tr>
        <w:trPr>
          <w:trHeight w:val="248"/>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111,144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178,970</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Related Assets</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contract related assets consist of subscriber assets, which are equipment that we provide to customers pursuant to subscription-based contracts. In these cases, we retain the ownership of the equipment that the customer uses and charge them subscription fees to receive our end-to-end solutions. The total net book value of subscriber assets of $17.3 million and $16.5 million as of March 31, 2023 and September 30, 2022, respectively, are included in property, equipment and improvements, net. Depreciation expense for these subscriber assets, which is included in cost of sales, was $0.9 million and $1.1 million for the three months ended March 31, 2023 and 2022, respectively. Depreciation expense for these subscriber assets $1.8 million and $1.9 million for the six months ended March 31, 2023 and 2022, respectively. We depreciate the cost of this equipment over its useful life.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REVENUE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8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Contract assets at Digi consist of products and services that have been fulfilled, but for which revenue has not yet been recognized. Our contract asset balances were immaterial as of March 31, 2023 and September 30, 2022.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8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Customers are invoiced for subscription services on a monthly, quarterly or annual basis. Contract liabilities consist of unearned revenue related to annual or multi-year contracts for subscription services and related implementation fees, as well as product sales that have been invoiced, but not yet fulfilled.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contract liabilities were $25.7 million and $24.8 million at March 31, 2023 and 2022, respectively.</w:t>
      </w:r>
    </w:p>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Of the $23.0 million and $24.3 million balances as of December 31, 2022 and 2021, Digi recognized $5.9 million and $5.0 million as revenue in the three months ended March 31, 2023 and 2022, respectively. Of the $21.6 million and $15.5 million balances as of September 30, 2022 and 2021, Digi recognized $10.6 million and $10.0 million as revenue in the six months ended March 31, 2023 and 2022, respectively.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Transaction Price</w:t>
      </w:r>
    </w:p>
    <w:p>
      <w:pPr>
        <w:spacing w:after="0" w:line="20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As of March 31, 2023, we had approximately $106.5 million of remaining performance obligations on contracts with an original duration of one year or more. We expect to recognize revenue on approximately $54.6 million of remaining performance obligations over the next 12 months. Revenue from the remaining performance obligations we expect to recognize over a range of two to five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INCOME TAXES</w:t>
      </w:r>
    </w:p>
    <w:p>
      <w:pPr>
        <w:spacing w:after="0" w:line="18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income tax expense was $0.2 million for the six months ended March 31, 2023. Included in this expense was a net tax benefit discretely related to the six months ended March 31, 2023 of $1.7 million. This benefit primarily was the result of excess tax benefits recognized on stock compensation.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effective tax rate will vary based on a variety of factors. These factors include our overall profitability, the geographical mix of income before taxes and related statutory tax rate in each jurisdiction, and tax items discretely related to the period, such as settlements of audits. We may record other benefits or expenses in the future that are specific to a particular quarter such as expiration of statutes of limitation, the completion of tax audits, or legislation that is enacted in both U.S. and foreign jurisdictions.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(in thousands):</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21"/>
        </w:trPr>
        <w:tc>
          <w:tcPr>
            <w:tcW w:w="9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230"/>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as of September 30, 2022</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r>
      <w:tr>
        <w:trPr>
          <w:trHeight w:val="230"/>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related to:</w:t>
            </w: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9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Expiration of statute of limitations</w:t>
            </w: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23"/>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as of March 31, 2023</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w:t>
            </w:r>
          </w:p>
        </w:tc>
      </w:tr>
      <w:tr>
        <w:trPr>
          <w:trHeight w:val="21"/>
        </w:trPr>
        <w:tc>
          <w:tcPr>
            <w:tcW w:w="9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total amount of unrecognized tax benefits at March 31, 2023 that, if recognized, would affect our effective tax rate was $2.6 million, after considering the impact of interest and deferred benefit items. We expect that the total amount of unrecognized tax benefits will decrease by approximately $0.3 million over the next 12 months.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PRODUCT WARRANTY OBLIGATION</w:t>
      </w:r>
    </w:p>
    <w:p>
      <w:pPr>
        <w:spacing w:after="0" w:line="185"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8"/>
          <w:szCs w:val="18"/>
          <w:color w:val="auto"/>
        </w:rPr>
        <w:t>The following tables summarize the activity associated with the product warranty accrual (in thousands) and is included on our condensed consolidated balance sheets within other current liabilities: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Balance at</w:t>
            </w:r>
          </w:p>
        </w:tc>
        <w:tc>
          <w:tcPr>
            <w:tcW w:w="20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Warranties</w:t>
            </w: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Settlements</w:t>
            </w:r>
          </w:p>
        </w:tc>
        <w:tc>
          <w:tcPr>
            <w:tcW w:w="240" w:type="dxa"/>
            <w:vAlign w:val="bottom"/>
          </w:tcPr>
          <w:p>
            <w:pPr>
              <w:spacing w:after="0"/>
              <w:rPr>
                <w:sz w:val="19"/>
                <w:szCs w:val="19"/>
                <w:color w:val="auto"/>
              </w:rPr>
            </w:pPr>
          </w:p>
        </w:tc>
        <w:tc>
          <w:tcPr>
            <w:tcW w:w="12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Balance at</w:t>
            </w: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4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December 31</w:t>
            </w:r>
          </w:p>
        </w:tc>
        <w:tc>
          <w:tcPr>
            <w:tcW w:w="20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issued</w:t>
            </w:r>
          </w:p>
        </w:tc>
        <w:tc>
          <w:tcPr>
            <w:tcW w:w="22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made</w:t>
            </w:r>
          </w:p>
        </w:tc>
        <w:tc>
          <w:tcPr>
            <w:tcW w:w="240" w:type="dxa"/>
            <w:vAlign w:val="bottom"/>
          </w:tcPr>
          <w:p>
            <w:pPr>
              <w:spacing w:after="0"/>
              <w:rPr>
                <w:sz w:val="20"/>
                <w:szCs w:val="20"/>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March 31</w:t>
            </w:r>
          </w:p>
        </w:tc>
      </w:tr>
      <w:tr>
        <w:trPr>
          <w:trHeight w:val="223"/>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2023</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530"/>
        </w:trPr>
        <w:tc>
          <w:tcPr>
            <w:tcW w:w="3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Balance at</w:t>
            </w:r>
          </w:p>
        </w:tc>
        <w:tc>
          <w:tcPr>
            <w:tcW w:w="2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Warranties</w:t>
            </w:r>
          </w:p>
        </w:tc>
        <w:tc>
          <w:tcPr>
            <w:tcW w:w="22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Settlements</w:t>
            </w:r>
          </w:p>
        </w:tc>
        <w:tc>
          <w:tcPr>
            <w:tcW w:w="240" w:type="dxa"/>
            <w:vAlign w:val="bottom"/>
          </w:tcPr>
          <w:p>
            <w:pPr>
              <w:spacing w:after="0"/>
              <w:rPr>
                <w:sz w:val="24"/>
                <w:szCs w:val="24"/>
                <w:color w:val="auto"/>
              </w:rPr>
            </w:pPr>
          </w:p>
        </w:tc>
        <w:tc>
          <w:tcPr>
            <w:tcW w:w="12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Balance at</w:t>
            </w: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4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issued</w:t>
            </w:r>
          </w:p>
        </w:tc>
        <w:tc>
          <w:tcPr>
            <w:tcW w:w="22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made</w:t>
            </w:r>
          </w:p>
        </w:tc>
        <w:tc>
          <w:tcPr>
            <w:tcW w:w="240" w:type="dxa"/>
            <w:vAlign w:val="bottom"/>
          </w:tcPr>
          <w:p>
            <w:pPr>
              <w:spacing w:after="0"/>
              <w:rPr>
                <w:sz w:val="20"/>
                <w:szCs w:val="20"/>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March 31</w:t>
            </w:r>
          </w:p>
        </w:tc>
      </w:tr>
      <w:tr>
        <w:trPr>
          <w:trHeight w:val="223"/>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Six months ended March 31, 2023</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Six months ended March 31, 2022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48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12. LEASES</w:t>
            </w: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7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All of our leases are operating leases and primarily consist of leases for office space. For any lease with an initial term in excess of 12 months, the related lease assets and lease liabilities are recognized on the condensed consolidated balance sheets as either operating or financing leases at the inception of an agreement where it is determined that a lease exists. We have lease agreements that contain both lease and non-lease components. We have elected to combine lease and non-lease components for all classes of assets. Leases with an expected term of 12 months or less are not recorded on the condensed consolidated balance sheets. Instead we recognize lease expense for these leases on a straight-line basis over the lease term.</w:t>
      </w:r>
    </w:p>
    <w:p>
      <w:pPr>
        <w:spacing w:after="0" w:line="14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Operating lease assets represent the right to use an underlying asset for the lease term and operating lease liabilities represent the obligation to make lease payments. These assets and liabilities are recognized based on the present value of future payments over the lease term at the commencement date. We generally use a collateralized incremental borrowing rate based on information available at the commencement date, including the lease term, in determining the present value of future payments. When determining our right-of-use assets, we generally do not include options to extend or terminate the lease unless it is reasonably certain that the option will be exercised.</w:t>
      </w:r>
    </w:p>
    <w:p>
      <w:pPr>
        <w:spacing w:after="0" w:line="14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leases typically require payment of real estate taxes and common area maintenance and insurance. These components comprise the majority of our variable lease cost and are excluded from the present value of our lease obligations. Fixed payments may contain predetermined fixed rent escalations. We recognize the related rent expense on a straight-line basis from the commencement date to the end of the lease term.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supplemental balance sheet information related to our leases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Sheet Location</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March 31, 2023</w:t>
            </w:r>
          </w:p>
        </w:tc>
        <w:tc>
          <w:tcPr>
            <w:tcW w:w="18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30, 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1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assets</w:t>
            </w:r>
          </w:p>
        </w:tc>
        <w:tc>
          <w:tcPr>
            <w:tcW w:w="324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1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760" w:type="dxa"/>
            <w:vAlign w:val="bottom"/>
            <w:vMerge w:val="restart"/>
          </w:tcPr>
          <w:p>
            <w:pPr>
              <w:jc w:val="right"/>
              <w:ind w:right="14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LEASES (CONTINUED)</w:t>
      </w:r>
    </w:p>
    <w:p>
      <w:pPr>
        <w:spacing w:after="0" w:line="19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were the components of our lease cost which is recorded in both cost of goods sold and selling, general and administrative expense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47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1,241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r>
      <w:tr>
        <w:trPr>
          <w:trHeight w:val="21"/>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November 2021, Digi acquired $0.9 million in right of-use assets and assumed $0.9 million in lease liabilities from the acquisition of Ventus that are included in the balances at March 31, 2022. Digi acquired $0.2 million in right-of-use assets in exchange for new operating lease liabilities in the three and six months ended March 31, 2023.</w:t>
      </w:r>
    </w:p>
    <w:p>
      <w:pPr>
        <w:spacing w:after="0" w:line="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March 31, 2023, the weighted average remaining lease term of our operating leases was 6.9 years and the weighted average discount rate for these leases was 4.5%.</w:t>
      </w:r>
    </w:p>
    <w:p>
      <w:pPr>
        <w:spacing w:after="0" w:line="13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as well as all the remaining years to the operating lease liabilities recorded on the condensed consolidated balance sheet as of March 31, 2023 (in thousands):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w:t>
            </w:r>
          </w:p>
        </w:tc>
        <w:tc>
          <w:tcPr>
            <w:tcW w:w="400" w:type="dxa"/>
            <w:vAlign w:val="bottom"/>
          </w:tcPr>
          <w:p>
            <w:pPr>
              <w:spacing w:after="0"/>
              <w:rPr>
                <w:sz w:val="20"/>
                <w:szCs w:val="20"/>
                <w:color w:val="auto"/>
              </w:rPr>
            </w:pPr>
          </w:p>
        </w:tc>
        <w:tc>
          <w:tcPr>
            <w:tcW w:w="15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Amount</w:t>
            </w:r>
          </w:p>
        </w:tc>
      </w:tr>
      <w:tr>
        <w:trPr>
          <w:trHeight w:val="223"/>
        </w:trPr>
        <w:tc>
          <w:tcPr>
            <w:tcW w:w="9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(six months)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r>
      <w:tr>
        <w:trPr>
          <w:trHeight w:val="229"/>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w:t>
            </w:r>
          </w:p>
        </w:tc>
      </w:tr>
      <w:tr>
        <w:trPr>
          <w:trHeight w:val="229"/>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r>
      <w:tr>
        <w:trPr>
          <w:trHeight w:val="230"/>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w:t>
            </w:r>
          </w:p>
        </w:tc>
      </w:tr>
      <w:tr>
        <w:trPr>
          <w:trHeight w:val="223"/>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future undiscounted lease payments</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22,256</w:t>
            </w:r>
          </w:p>
        </w:tc>
      </w:tr>
      <w:tr>
        <w:trPr>
          <w:trHeight w:val="230"/>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r>
      <w:tr>
        <w:trPr>
          <w:trHeight w:val="223"/>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reported lease liability</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18,865</w:t>
            </w:r>
          </w:p>
        </w:tc>
      </w:tr>
      <w:tr>
        <w:trPr>
          <w:trHeight w:val="20"/>
        </w:trPr>
        <w:tc>
          <w:tcPr>
            <w:tcW w:w="9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COMMITMENTS AND CONTINGENCIES</w:t>
      </w:r>
    </w:p>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We lease certain of our buildings and equipment under non-cancelable lease agreements. Please refer to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xml:space="preserve"> to our condensed consolidated financial statements for additional information.</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presently are, and expect in the future to be, subject to various claims and litigation with third parties such as non-practicing intellectual property entities as well as customers, vendors, competitors and/or former employees. There can be no assurance that any claims by third parties, if proven to have merit, will not materially adversely affect our business, liquidity or financial condition. In addition, the costs associated with defending ourselves in litigation may be significant regardless of whether the claim has merit.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STOCK-BASED COMPENSATION</w:t>
      </w:r>
    </w:p>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Stock-based awards granted in the first fiscal quarter of 2023 were granted under the amended and restated 2021 Omnibus Incentive Plan (the "2021 Plan"). Such awards made in the first quarter of fiscal 2022 were granted under the 2021 Plan before it was amended and restated at our annual meeting in January, 2022. Shares subject to awards under the 2021 Plan or any prior plans that are forfeited, canceled, returned to us for failure to satisfy vesting requirements, settled in cash or otherwise terminated without payment also will be available for grant under the 2021 Plan. The authority to grant options under the 2021 Plan and set other terms and conditions rests with the Compensation Committee of the Board of Directors.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STOCK-BASED COMPENSATION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2023, there were approximately 2,340,956 shares available for future grants under the 2021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received from the exercise of stock options was $1.7 million and $5.6 million for the six months ended March 31, 2023 and 2022, respectively.</w:t>
      </w:r>
    </w:p>
    <w:p>
      <w:pPr>
        <w:spacing w:after="0" w:line="185"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Our equity plans and corresponding forms of award agreements generally have provisions allowing employees to elect to satisfy tax withholding obligations through the delivery of shares. When employees make this election, we retain a portion of shares issuable under the award. Tax withholding obligations are otherwise fulfilled by the employee paying cash to us for the withholding. During the six months ended March 31, 2023 and 2022, our employees forfeited 90,985 shares and 630,181 shares, respectively, in order to satisfy respective withholding tax obligations of $3.7 million and $6.4 million, respectively.</w:t>
      </w:r>
    </w:p>
    <w:p>
      <w:pPr>
        <w:spacing w:after="0" w:line="15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sponsor an Employee Stock Purchase Plan as amended and restated as of December 10, 2019, October 29, 2013, December 4, 2009 and November 27, 2006 (the "ESPP"), covering all domestic employees with at least 90 days of continuous service and who are customarily employed at least 20 hours per week. The ESPP allows eligible participants the right to purchase common stock on a quarterly basis at the lower of 85% of the market price at the beginning or end of each three-month offering period. The most recent amendments to the ESPP, ratified by our stockholders on January 29, 2020, increased the total number of shares that may be purchased under the ESPP to 3,425,000. ESPP contributions by employees were $1.2 million and $0.7 million for the six months ended March 31, 2023 and 2022, respectively. Pursuant to the ESPP, 39,979 and 36,987 common shares were issued to employees during the six months ended March 31, 2023 and 2022, respectively. Shares are issued under the ESPP from treasury stock. As of March 31, 2023, 512,869 common shares were available for future issuances under the ESPP.</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stock-based compensation expense that is included in the consolidated results of operations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4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340" w:type="dxa"/>
            <w:vAlign w:val="bottom"/>
          </w:tcPr>
          <w:p>
            <w:pPr>
              <w:spacing w:after="0"/>
              <w:rPr>
                <w:sz w:val="20"/>
                <w:szCs w:val="20"/>
                <w:color w:val="auto"/>
              </w:rPr>
            </w:pPr>
          </w:p>
        </w:tc>
        <w:tc>
          <w:tcPr>
            <w:tcW w:w="284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482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r>
      <w:tr>
        <w:trPr>
          <w:trHeight w:val="223"/>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before income taxes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w:t>
            </w: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after income taxes</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(in thousands, except per common share amounts):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Options</w:t>
            </w:r>
          </w:p>
        </w:tc>
        <w:tc>
          <w:tcPr>
            <w:tcW w:w="1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8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Aggregate</w:t>
            </w: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8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Contractual Term (in</w:t>
            </w:r>
          </w:p>
        </w:tc>
        <w:tc>
          <w:tcPr>
            <w:tcW w:w="12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Intrinsic Value</w:t>
            </w:r>
          </w:p>
        </w:tc>
        <w:tc>
          <w:tcPr>
            <w:tcW w:w="0" w:type="dxa"/>
            <w:vAlign w:val="bottom"/>
          </w:tcPr>
          <w:p>
            <w:pPr>
              <w:spacing w:after="0"/>
              <w:rPr>
                <w:sz w:val="1"/>
                <w:szCs w:val="1"/>
                <w:color w:val="auto"/>
              </w:rPr>
            </w:pPr>
          </w:p>
        </w:tc>
      </w:tr>
      <w:tr>
        <w:trPr>
          <w:trHeight w:val="239"/>
        </w:trPr>
        <w:tc>
          <w:tcPr>
            <w:tcW w:w="520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Outstanding</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Exercise Price</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years)</w:t>
            </w:r>
          </w:p>
        </w:tc>
        <w:tc>
          <w:tcPr>
            <w:tcW w:w="1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7"/>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September 30,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 Canceled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March 31, 2023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on March 31, 2023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right="120" w:firstLine="8"/>
        <w:spacing w:after="0" w:line="282"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based on our closing stock price of $33.68 as of March 31, 2023, which would have been received by the option holders had all option holders exercised their options as of that date.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STOCK-BASED COMPENSATION (CONTINUED)</w:t>
      </w:r>
    </w:p>
    <w:p>
      <w:pPr>
        <w:spacing w:after="0" w:line="19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intrinsic value of an option is the amount by which the fair value of the underlying stock exceeds its exercise price. The total intrinsic value of all options exercised during the six months ended March 31, 2023 and 2022 was $2.6 million and $13.9 million,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weighted average fair value, which was determined based upon the fair value of each option on the grant date utilizing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option-pricing model and the related assumptions: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p>
        </w:tc>
        <w:tc>
          <w:tcPr>
            <w:tcW w:w="37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75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per option grant date fair value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$19.92</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$10.23</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Assumptions used for option grants:</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 free interest rate minimum</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3.77% - 3.98%</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 - 1.82%</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term</w:t>
            </w:r>
          </w:p>
        </w:tc>
        <w:tc>
          <w:tcPr>
            <w:tcW w:w="19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6.00 years</w:t>
            </w:r>
          </w:p>
        </w:tc>
        <w:tc>
          <w:tcPr>
            <w:tcW w:w="1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6.00 years</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volatility minimum</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 - 46%</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volatility</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c>
          <w:tcPr>
            <w:tcW w:w="1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5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fair value of each option award granted during the periods presented was estimated using the Black-Scholes option valuation model that uses the assumptions noted in the above table. Expected volatilities are based on the historical volatility of our stock. We use historical data to estimate option exercise and employee termination information within the valuation model. The expected term of options granted is derived from the vesting period and historical information and represents the period of time that options granted are expected to be outstanding. The risk-free rate used is the zero-coupon U.S. Treasury bond rate in effect at the time of the grant whose maturity equals the expected term of the option.</w:t>
      </w:r>
    </w:p>
    <w:p>
      <w:pPr>
        <w:spacing w:after="0" w:line="14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March 31, 2023, the total unrecognized compensation cost related to non-vested stock options was $6.5 million and the related weighted average period over which it is expected to be recognized is approximately 1.9 years.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Non-vested Stock Units</w:t>
      </w:r>
    </w:p>
    <w:p>
      <w:pPr>
        <w:spacing w:after="0" w:line="20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non-vested restricted stock units and performance stock units as of March 31, 2023 and changes during the six months then ended (in thousands, except per common share amounts):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1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RSUs</w:t>
            </w:r>
          </w:p>
        </w:tc>
        <w:tc>
          <w:tcPr>
            <w:tcW w:w="1540" w:type="dxa"/>
            <w:vAlign w:val="bottom"/>
          </w:tcPr>
          <w:p>
            <w:pPr>
              <w:spacing w:after="0"/>
              <w:rPr>
                <w:sz w:val="20"/>
                <w:szCs w:val="20"/>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4"/>
              </w:rPr>
              <w:t>PSUs</w:t>
            </w:r>
          </w:p>
        </w:tc>
        <w:tc>
          <w:tcPr>
            <w:tcW w:w="1600" w:type="dxa"/>
            <w:vAlign w:val="bottom"/>
          </w:tcPr>
          <w:p>
            <w:pPr>
              <w:spacing w:after="0"/>
              <w:rPr>
                <w:sz w:val="20"/>
                <w:szCs w:val="20"/>
                <w:color w:val="auto"/>
              </w:rPr>
            </w:pPr>
          </w:p>
        </w:tc>
      </w:tr>
      <w:tr>
        <w:trPr>
          <w:trHeight w:val="174"/>
        </w:trPr>
        <w:tc>
          <w:tcPr>
            <w:tcW w:w="3960" w:type="dxa"/>
            <w:vAlign w:val="bottom"/>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tcPr>
          <w:p>
            <w:pPr>
              <w:jc w:val="center"/>
              <w:ind w:right="30"/>
              <w:spacing w:after="0" w:line="174"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gridSpan w:val="2"/>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w w:val="98"/>
              </w:rPr>
              <w:t>Weighted Average Grant</w:t>
            </w:r>
          </w:p>
        </w:tc>
      </w:tr>
      <w:tr>
        <w:trPr>
          <w:trHeight w:val="238"/>
        </w:trPr>
        <w:tc>
          <w:tcPr>
            <w:tcW w:w="39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Number of Awards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Grant Date Fair Value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Number of Awards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on September 30,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r>
      <w:tr>
        <w:trPr>
          <w:trHeight w:val="229"/>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on March 31,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March 31, 2023, the total unrecognized compensation cost related to non-vested stock units was $27.9 million. The related weighted average period over which this cost is expected to be recognized is approximately 2.3 years.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management's discussion and analysis should be read in conjunction with our Annual Report on Form 10-K for the fiscal year ended September 30, 2022, as well as our subsequent reports on Form 10-Q and Form 8-K and any amendments to these reports.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Form 10-Q contains certain statements that are "forward-looking statements" as that term is defined under the Private Securities Litigation Reform Act of 1995, and within the meaning of Section 27A of the Securities Act of 1933, as amended, and Section 21E of the Securities Exchange Act of 1934, as amended.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8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discussion contains forward-looking statements that are based on management's current expectations and assumptions. These statements often can be identified by the use of forward-looking terminology such as "assume," "believe," "anticipate," "intend," "estimate," "target," "may," "will," "expect," "plan," "potential," "project," "should," or "continue," or the negative thereof or other variations thereon or similar terminology. Among other items, these statements relate to expectations of the business environment in which Digi operates, projections of future performance, perceived marketplace opportunities and statements regarding our mission and vision. Such statements are not guarantees of future performance and involve certain risks, uncertainties and assumptions. Among others, these include risks related to the ongoing supply chain and transportation challenges impacting businesses globally, the ongoing COVID-19 pandemic and efforts to mitigate the same, risks related to ongoing inflationary pressures and the monetary policies of governments globally as well as present concerns about a potential recession and the ability of companies like us to operate a global business in such conditions, risks arising from the present war in Ukraine, the highly competitive market in which our company operates, rapid changes in technologies that may displace products sold by us, declining prices of networking products, our reliance on distributors and other third parties to sell our products, the potential for significant purchase orders to be canceled or changed, delays in product development efforts, uncertainty in user acceptance of our products, the ability to integrate our products and services with those of other parties in a commercially accepted manner, potential liabilities that can arise if any of our products have design or manufacturing defects, our ability to integrate and realize the expected benefits of acquisitions, our ability to defend or settle satisfactorily any litigation such as, but not limited to, claims regarding intellectual property infringement that we face from time to time, uncertainty in global economic conditions and economic conditions within particular regions of the world which could negatively affect product demand and the financial solvency of customers and suppliers, the impact of natural disasters and other events beyond our control that could negatively impact our supply chain and customers, potential unintended consequences associated with restructuring, reorganizations or other similar business initiatives that may impact our ability to retain important employees or otherwise impact our operations in unintended and adverse ways, risks related to cybersecurity events, the potential for issues repaying outstanding debt if we experience a downturn in our business or encounter unexpected liabilities, and changes in our level of revenue or profitability which can fluctuate for many reasons beyond our control.</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These and other risks, uncertainties and assumptions identified from time to time in our filings with the United States Securities and Exchange Commission, including without limitation, those set forth in Item 1A, Risk Factors, of our Annual Report on Form 10-K for the year ended September 30, 2022, this filing on Form 10-Q and other filings, could cause our actual results to differ materially from those expressed in any forward-looking statements made by us or on our behalf. Many of such factors are beyond our ability to control or predict. These forward-looking statements speak only as of the date for which they are made. We disclaim any intent or obligation to update any forward-looking statements, whether as a result of new information, future events or otherwise.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POLICIES AND ESTIMATES</w:t>
      </w:r>
    </w:p>
    <w:p>
      <w:pPr>
        <w:spacing w:after="0" w:line="18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consolidated financial statements requires us to make estimates and judgments that affect the reported amounts of assets, liabilities, revenue and expenses, the disclosure of contingent assets and liabilities and the values of purchased assets and assumed liabilities in acquisitions. We base our estimates on historical experience and various other assumptions that we believed to be reasonable under the circumstances, the results of which form the basis for making</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judgments about the carrying values of assets and liabilities that are not readily apparent from other sources. Actual results may differ from these estimates.</w:t>
      </w:r>
    </w:p>
    <w:p>
      <w:pPr>
        <w:spacing w:after="0" w:line="19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 description of our critical accounting policies and estimates was provided in the Management's Discussion and Analysis of Financial Condition and Results of Operations section of our Annual Report on Form 10-K for the fiscal year ended September 30,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are a leading global provider of business and mission-critical IoT connectivity products, services and solutions. Our business is comprised of two reporting segments: IoT Products &amp; Services and IoT Solutions.</w:t>
      </w:r>
    </w:p>
    <w:p>
      <w:pPr>
        <w:spacing w:after="0" w:line="121"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color w:val="auto"/>
        </w:rPr>
        <w:t>Our IoT Products &amp; Services segment offers products and services that help OEMs, enterprise and government customers create and deploy secure IoT connectivity solutions. From embedded and wireless modules to console servers as well as enterprise and industrial routers, we provide a wide variety of communication sub-assemblies and finished products to meet our customers' IoT communication requirements. In addition, this segment provides our customers with a device management platform and other professional services to enable customers to capture and manage data from devices connected to networks.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IoT Solutions segment primarily consists of our Managed Network-as-a-Service (“MNaaS”) business acquired last year via our acquisition of Ventus Wireless, LLC and affiliated entities (“Ventus”) and our SmartSense by Digi® business. Ventus is a leader in the provision of MNaaS solutions that simplify the complexity of enterprise wide area network (“WAN”) connectivity for customers. The Ventus portfolio includes cellular wireless and fixed line WAN solutions for an array of connectivity applications in banking, healthcare, retail, gaming, hospitality and other sectors. SmartSense offers wireless temperature and other condition-based monitoring services as well as employee task management services. These solutions are focused on the following vertical markets: food service, healthcare (primarily pharmacies and hospitals) and supply chain.</w:t>
      </w:r>
    </w:p>
    <w:p>
      <w:pPr>
        <w:spacing w:after="0" w:line="14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compete for customers on the basis of existing and planned product features, service and software application capabilities, company reputation, brand recognition, technical support, alliance relationships, quality and reliability, product development capabilities, price and availability.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2023, our key operating objectives include:</w:t>
      </w:r>
    </w:p>
    <w:p>
      <w:pPr>
        <w:spacing w:after="0" w:line="158" w:lineRule="exact"/>
        <w:rPr>
          <w:sz w:val="20"/>
          <w:szCs w:val="20"/>
          <w:color w:val="auto"/>
        </w:rPr>
      </w:pPr>
    </w:p>
    <w:p>
      <w:pPr>
        <w:ind w:left="660" w:right="80" w:hanging="328"/>
        <w:spacing w:after="0" w:line="234" w:lineRule="auto"/>
        <w:tabs>
          <w:tab w:leader="none" w:pos="65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continuing to transition to complete solutions with software and service offerings included with our products, as this drives Annualized Recurring Revenue ("ARR"), which provides more predictable and higher margin revenues; and</w:t>
      </w:r>
    </w:p>
    <w:p>
      <w:pPr>
        <w:spacing w:after="0" w:line="9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higher level of customer service across our businesses.</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utilize many financial, operational, and other metrics to evaluate our financial condition and financial performance. Below we highlight the metrics for the second quarter of fiscal 2023 that we feel are most important in these evaluations, with comparisons to the second quarter of fiscal 2022:</w:t>
      </w:r>
    </w:p>
    <w:p>
      <w:pPr>
        <w:spacing w:after="0" w:line="5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was $111 million, an increase of 17%.</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was 56.6% versus 54.9%. Gross profit margin excluding amortization was 57.4% compared to 56.3%.</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was $0.16, compared to $0.08, an increase of 100%.</w:t>
      </w:r>
    </w:p>
    <w:p>
      <w:pPr>
        <w:spacing w:after="0" w:line="11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and adjusted net income per share was $18.2 million, or $0.50 per diluted share, compared to $14.5 million, or $0.41 per diluted share, an increase of 22%.</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Adjusted EBITDA was $24 million, an increase of 22%.</w:t>
      </w:r>
    </w:p>
    <w:p>
      <w:pPr>
        <w:spacing w:after="0" w:line="138"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ARR was $99 million at quarter end, an increase of 10%.</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selected information derived from our interim condensed consolidated statements of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40" w:type="dxa"/>
            <w:vAlign w:val="bottom"/>
            <w:gridSpan w:val="7"/>
          </w:tcPr>
          <w:p>
            <w:pPr>
              <w:jc w:val="right"/>
              <w:ind w:right="32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 incr.</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color w:val="auto"/>
              </w:rPr>
              <w:t>Six months ended March 31,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 incr.</w:t>
            </w:r>
          </w:p>
        </w:tc>
        <w:tc>
          <w:tcPr>
            <w:tcW w:w="0" w:type="dxa"/>
            <w:vAlign w:val="bottom"/>
          </w:tcPr>
          <w:p>
            <w:pPr>
              <w:spacing w:after="0"/>
              <w:rPr>
                <w:sz w:val="1"/>
                <w:szCs w:val="1"/>
                <w:color w:val="auto"/>
              </w:rPr>
            </w:pPr>
          </w:p>
        </w:tc>
      </w:tr>
      <w:tr>
        <w:trPr>
          <w:trHeight w:val="23"/>
        </w:trPr>
        <w:tc>
          <w:tcPr>
            <w:tcW w:w="1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7"/>
              </w:rPr>
              <w:t>(decr.)</w:t>
            </w: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(decr.)</w:t>
            </w:r>
          </w:p>
        </w:tc>
        <w:tc>
          <w:tcPr>
            <w:tcW w:w="0" w:type="dxa"/>
            <w:vAlign w:val="bottom"/>
          </w:tcPr>
          <w:p>
            <w:pPr>
              <w:spacing w:after="0"/>
              <w:rPr>
                <w:sz w:val="1"/>
                <w:szCs w:val="1"/>
                <w:color w:val="auto"/>
              </w:rPr>
            </w:pPr>
          </w:p>
        </w:tc>
      </w:tr>
      <w:tr>
        <w:trPr>
          <w:trHeight w:val="190"/>
        </w:trPr>
        <w:tc>
          <w:tcPr>
            <w:tcW w:w="1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688"/>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2022</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2022</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111,144</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94,713</w:t>
            </w: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17.3 %</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220,450</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178,970</w:t>
            </w: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23.2 %</w:t>
            </w:r>
          </w:p>
        </w:tc>
        <w:tc>
          <w:tcPr>
            <w:tcW w:w="0" w:type="dxa"/>
            <w:vAlign w:val="bottom"/>
          </w:tcPr>
          <w:p>
            <w:pPr>
              <w:spacing w:after="0"/>
              <w:rPr>
                <w:sz w:val="1"/>
                <w:szCs w:val="1"/>
                <w:color w:val="auto"/>
              </w:rPr>
            </w:pPr>
          </w:p>
        </w:tc>
      </w:tr>
      <w:tr>
        <w:trPr>
          <w:trHeight w:val="196"/>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48,272</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43.4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45.1</w:t>
            </w:r>
          </w:p>
        </w:tc>
        <w:tc>
          <w:tcPr>
            <w:tcW w:w="8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79,105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44.2</w:t>
            </w:r>
          </w:p>
        </w:tc>
        <w:tc>
          <w:tcPr>
            <w:tcW w:w="8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203"/>
        </w:trPr>
        <w:tc>
          <w:tcPr>
            <w:tcW w:w="1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62,872</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56.6</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51,984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54.9</w:t>
            </w:r>
          </w:p>
        </w:tc>
        <w:tc>
          <w:tcPr>
            <w:tcW w:w="820" w:type="dxa"/>
            <w:vAlign w:val="bottom"/>
            <w:tcBorders>
              <w:top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124,393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99,865</w:t>
            </w: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55.8</w:t>
            </w:r>
          </w:p>
        </w:tc>
        <w:tc>
          <w:tcPr>
            <w:tcW w:w="840" w:type="dxa"/>
            <w:vAlign w:val="bottom"/>
            <w:tcBorders>
              <w:top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196"/>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50,697</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45.6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46.9</w:t>
            </w:r>
          </w:p>
        </w:tc>
        <w:tc>
          <w:tcPr>
            <w:tcW w:w="8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100,255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88,502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49.5</w:t>
            </w:r>
          </w:p>
        </w:tc>
        <w:tc>
          <w:tcPr>
            <w:tcW w:w="8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03"/>
        </w:trPr>
        <w:tc>
          <w:tcPr>
            <w:tcW w:w="1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12,175</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7.9</w:t>
            </w:r>
          </w:p>
        </w:tc>
        <w:tc>
          <w:tcPr>
            <w:tcW w:w="820" w:type="dxa"/>
            <w:vAlign w:val="bottom"/>
            <w:tcBorders>
              <w:top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61.0</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24,138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11,363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6.3</w:t>
            </w:r>
          </w:p>
        </w:tc>
        <w:tc>
          <w:tcPr>
            <w:tcW w:w="840" w:type="dxa"/>
            <w:vAlign w:val="bottom"/>
            <w:tcBorders>
              <w:top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112.4</w:t>
            </w:r>
          </w:p>
        </w:tc>
        <w:tc>
          <w:tcPr>
            <w:tcW w:w="0" w:type="dxa"/>
            <w:vAlign w:val="bottom"/>
          </w:tcPr>
          <w:p>
            <w:pPr>
              <w:spacing w:after="0"/>
              <w:rPr>
                <w:sz w:val="1"/>
                <w:szCs w:val="1"/>
                <w:color w:val="auto"/>
              </w:rPr>
            </w:pPr>
          </w:p>
        </w:tc>
      </w:tr>
      <w:tr>
        <w:trPr>
          <w:trHeight w:val="196"/>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(6,346)</w:t>
            </w: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(4.6)</w:t>
            </w:r>
          </w:p>
        </w:tc>
        <w:tc>
          <w:tcPr>
            <w:tcW w:w="8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46.8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(5.2)</w:t>
            </w:r>
          </w:p>
        </w:tc>
        <w:tc>
          <w:tcPr>
            <w:tcW w:w="8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31.9</w:t>
            </w:r>
          </w:p>
        </w:tc>
        <w:tc>
          <w:tcPr>
            <w:tcW w:w="0" w:type="dxa"/>
            <w:vAlign w:val="bottom"/>
          </w:tcPr>
          <w:p>
            <w:pPr>
              <w:spacing w:after="0"/>
              <w:rPr>
                <w:sz w:val="1"/>
                <w:szCs w:val="1"/>
                <w:color w:val="auto"/>
              </w:rPr>
            </w:pPr>
          </w:p>
        </w:tc>
      </w:tr>
      <w:tr>
        <w:trPr>
          <w:trHeight w:val="203"/>
        </w:trPr>
        <w:tc>
          <w:tcPr>
            <w:tcW w:w="1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5,829</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3.4</w:t>
            </w:r>
          </w:p>
        </w:tc>
        <w:tc>
          <w:tcPr>
            <w:tcW w:w="820" w:type="dxa"/>
            <w:vAlign w:val="bottom"/>
            <w:tcBorders>
              <w:top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79.9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840" w:type="dxa"/>
            <w:vAlign w:val="bottom"/>
            <w:tcBorders>
              <w:top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480.6</w:t>
            </w:r>
          </w:p>
        </w:tc>
        <w:tc>
          <w:tcPr>
            <w:tcW w:w="0" w:type="dxa"/>
            <w:vAlign w:val="bottom"/>
          </w:tcPr>
          <w:p>
            <w:pPr>
              <w:spacing w:after="0"/>
              <w:rPr>
                <w:sz w:val="1"/>
                <w:szCs w:val="1"/>
                <w:color w:val="auto"/>
              </w:rPr>
            </w:pPr>
          </w:p>
        </w:tc>
      </w:tr>
      <w:tr>
        <w:trPr>
          <w:trHeight w:val="196"/>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7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w w:val="97"/>
              </w:rPr>
              <w:t>NM</w:t>
            </w:r>
          </w:p>
        </w:tc>
        <w:tc>
          <w:tcPr>
            <w:tcW w:w="0" w:type="dxa"/>
            <w:vAlign w:val="bottom"/>
          </w:tcPr>
          <w:p>
            <w:pPr>
              <w:spacing w:after="0"/>
              <w:rPr>
                <w:sz w:val="1"/>
                <w:szCs w:val="1"/>
                <w:color w:val="auto"/>
              </w:rPr>
            </w:pPr>
          </w:p>
        </w:tc>
      </w:tr>
      <w:tr>
        <w:trPr>
          <w:trHeight w:val="228"/>
        </w:trPr>
        <w:tc>
          <w:tcPr>
            <w:tcW w:w="1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8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4,034</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8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189.5 %</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means not meaningful</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SEGMENT</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20" w:type="dxa"/>
            <w:vAlign w:val="bottom"/>
            <w:gridSpan w:val="8"/>
          </w:tcPr>
          <w:p>
            <w:pPr>
              <w:jc w:val="right"/>
              <w:ind w:right="32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incr.</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7"/>
          </w:tcPr>
          <w:p>
            <w:pPr>
              <w:jc w:val="right"/>
              <w:ind w:right="400"/>
              <w:spacing w:after="0"/>
              <w:rPr>
                <w:sz w:val="20"/>
                <w:szCs w:val="20"/>
                <w:color w:val="auto"/>
              </w:rPr>
            </w:pPr>
            <w:r>
              <w:rPr>
                <w:rFonts w:ascii="Times New Roman" w:cs="Times New Roman" w:eastAsia="Times New Roman" w:hAnsi="Times New Roman"/>
                <w:sz w:val="14"/>
                <w:szCs w:val="14"/>
                <w:color w:val="auto"/>
              </w:rPr>
              <w:t>Six months ended March 31,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incr.</w:t>
            </w:r>
          </w:p>
        </w:tc>
        <w:tc>
          <w:tcPr>
            <w:tcW w:w="0" w:type="dxa"/>
            <w:vAlign w:val="bottom"/>
          </w:tcPr>
          <w:p>
            <w:pPr>
              <w:spacing w:after="0"/>
              <w:rPr>
                <w:sz w:val="1"/>
                <w:szCs w:val="1"/>
                <w:color w:val="auto"/>
              </w:rPr>
            </w:pPr>
          </w:p>
        </w:tc>
      </w:tr>
      <w:tr>
        <w:trPr>
          <w:trHeight w:val="23"/>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(decr.)</w:t>
            </w: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(decr.)</w:t>
            </w:r>
          </w:p>
        </w:tc>
        <w:tc>
          <w:tcPr>
            <w:tcW w:w="0" w:type="dxa"/>
            <w:vAlign w:val="bottom"/>
          </w:tcPr>
          <w:p>
            <w:pPr>
              <w:spacing w:after="0"/>
              <w:rPr>
                <w:sz w:val="1"/>
                <w:szCs w:val="1"/>
                <w:color w:val="auto"/>
              </w:rPr>
            </w:pPr>
          </w:p>
        </w:tc>
      </w:tr>
      <w:tr>
        <w:trPr>
          <w:trHeight w:val="189"/>
        </w:trPr>
        <w:tc>
          <w:tcPr>
            <w:tcW w:w="2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2023</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2022</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2023</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2022</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IoT Products &amp; Services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85,893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77.3 %</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71,370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20.3 %</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77.2 %</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137,114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76.6 %</w:t>
            </w: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24.2 %</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IoT Solutions</w:t>
            </w: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25,251</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23,343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24.6</w:t>
            </w:r>
          </w:p>
        </w:tc>
        <w:tc>
          <w:tcPr>
            <w:tcW w:w="8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50,215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41,856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23.4</w:t>
            </w: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203"/>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revenue</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111,144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94,713</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17.3 %</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220,450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178,970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23.2 %</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 was $99 million as of March 31, 2023, compared to $90 million as of March 31, 2022. IoT Products &amp; Services ARR was $17 million as of</w:t>
      </w:r>
    </w:p>
    <w:p>
      <w:pPr>
        <w:spacing w:after="0" w:line="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March 31, 2023, compared to $14 million as of March 31, 2022. IoT Solutions ARR was over $82 million as of March 31, 2023, compared to $76 million as of March 31, 2022.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Products &amp; Services</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IoT Products &amp; Services revenue increased 20.3% for the three months ended March 31, 2023, as compared to the same period in the prior fiscal year. IoT Products &amp; Services revenue increased 24.2% for the six months ended March 31, 2023, as compared to the same period in the prior fiscal year. These increases are attributable to growth in each of our product lines.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Solutions</w:t>
      </w:r>
    </w:p>
    <w:p>
      <w:pPr>
        <w:spacing w:after="0" w:line="20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IoT Solutions revenue increased 8.2% for the three months ended March 31, 2023, as compared to the same period in the prior fiscal year. IoT Solutions revenue increased 20.0% for the six months ended March 31, 2023, as compared to the same period in the prior fiscal year. These increases are primarily a result of increased sales of both SmartSense and Ventus offerings.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GOODS SOLD AND GROSS PROFIT BY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our segments' cost of goods sold and gross profit as a percentage of their respective total revenue:</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8"/>
          </w:tcPr>
          <w:p>
            <w:pPr>
              <w:jc w:val="right"/>
              <w:ind w:right="38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Basis point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80" w:type="dxa"/>
            <w:vAlign w:val="bottom"/>
            <w:gridSpan w:val="9"/>
          </w:tcPr>
          <w:p>
            <w:pPr>
              <w:jc w:val="right"/>
              <w:ind w:right="460"/>
              <w:spacing w:after="0"/>
              <w:rPr>
                <w:sz w:val="20"/>
                <w:szCs w:val="20"/>
                <w:color w:val="auto"/>
              </w:rPr>
            </w:pPr>
            <w:r>
              <w:rPr>
                <w:rFonts w:ascii="Times New Roman" w:cs="Times New Roman" w:eastAsia="Times New Roman" w:hAnsi="Times New Roman"/>
                <w:sz w:val="14"/>
                <w:szCs w:val="14"/>
                <w:color w:val="auto"/>
              </w:rPr>
              <w:t>Six months ended March 31,</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Basis point</w:t>
            </w:r>
          </w:p>
        </w:tc>
        <w:tc>
          <w:tcPr>
            <w:tcW w:w="0" w:type="dxa"/>
            <w:vAlign w:val="bottom"/>
          </w:tcPr>
          <w:p>
            <w:pPr>
              <w:spacing w:after="0"/>
              <w:rPr>
                <w:sz w:val="1"/>
                <w:szCs w:val="1"/>
                <w:color w:val="auto"/>
              </w:rPr>
            </w:pPr>
          </w:p>
        </w:tc>
      </w:tr>
      <w:tr>
        <w:trPr>
          <w:trHeight w:val="23"/>
        </w:trPr>
        <w:tc>
          <w:tcPr>
            <w:tcW w:w="1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inc. (decr.)</w:t>
            </w: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inc. (decr.)</w:t>
            </w:r>
          </w:p>
        </w:tc>
        <w:tc>
          <w:tcPr>
            <w:tcW w:w="0" w:type="dxa"/>
            <w:vAlign w:val="bottom"/>
          </w:tcPr>
          <w:p>
            <w:pPr>
              <w:spacing w:after="0"/>
              <w:rPr>
                <w:sz w:val="1"/>
                <w:szCs w:val="1"/>
                <w:color w:val="auto"/>
              </w:rPr>
            </w:pPr>
          </w:p>
        </w:tc>
      </w:tr>
      <w:tr>
        <w:trPr>
          <w:trHeight w:val="190"/>
        </w:trPr>
        <w:tc>
          <w:tcPr>
            <w:tcW w:w="1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2023</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2022</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2023</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2022</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IoT Products &amp; Services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38,776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45.1 %</w:t>
            </w:r>
          </w:p>
        </w:tc>
        <w:tc>
          <w:tcPr>
            <w:tcW w:w="80" w:type="dxa"/>
            <w:vAlign w:val="bottom"/>
          </w:tcPr>
          <w:p>
            <w:pPr>
              <w:spacing w:after="0"/>
              <w:rPr>
                <w:sz w:val="16"/>
                <w:szCs w:val="16"/>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32,909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46.1 %</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77,097</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45.3 %</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62,978</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03"/>
        </w:trPr>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IoT Solutions</w:t>
            </w: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37.6 %</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42.1 %</w:t>
            </w: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18,960</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37.8 %</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16,127</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03"/>
        </w:trPr>
        <w:tc>
          <w:tcPr>
            <w:tcW w:w="1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cost of goods sold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48,272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43.4 %</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42,729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45.1 %</w:t>
            </w:r>
          </w:p>
        </w:tc>
        <w:tc>
          <w:tcPr>
            <w:tcW w:w="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96,057</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79,105</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Basis point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gridSpan w:val="9"/>
          </w:tcPr>
          <w:p>
            <w:pPr>
              <w:jc w:val="right"/>
              <w:ind w:right="420"/>
              <w:spacing w:after="0"/>
              <w:rPr>
                <w:sz w:val="20"/>
                <w:szCs w:val="20"/>
                <w:color w:val="auto"/>
              </w:rPr>
            </w:pPr>
            <w:r>
              <w:rPr>
                <w:rFonts w:ascii="Times New Roman" w:cs="Times New Roman" w:eastAsia="Times New Roman" w:hAnsi="Times New Roman"/>
                <w:sz w:val="14"/>
                <w:szCs w:val="14"/>
                <w:color w:val="auto"/>
              </w:rPr>
              <w:t>Six months ended March 31,</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Basis point</w:t>
            </w:r>
          </w:p>
        </w:tc>
        <w:tc>
          <w:tcPr>
            <w:tcW w:w="0" w:type="dxa"/>
            <w:vAlign w:val="bottom"/>
          </w:tcPr>
          <w:p>
            <w:pPr>
              <w:spacing w:after="0"/>
              <w:rPr>
                <w:sz w:val="1"/>
                <w:szCs w:val="1"/>
                <w:color w:val="auto"/>
              </w:rPr>
            </w:pPr>
          </w:p>
        </w:tc>
      </w:tr>
      <w:tr>
        <w:trPr>
          <w:trHeight w:val="23"/>
        </w:trPr>
        <w:tc>
          <w:tcPr>
            <w:tcW w:w="1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inc. (decr.)</w:t>
            </w: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inc. (decr.)</w:t>
            </w:r>
          </w:p>
        </w:tc>
        <w:tc>
          <w:tcPr>
            <w:tcW w:w="0" w:type="dxa"/>
            <w:vAlign w:val="bottom"/>
          </w:tcPr>
          <w:p>
            <w:pPr>
              <w:spacing w:after="0"/>
              <w:rPr>
                <w:sz w:val="1"/>
                <w:szCs w:val="1"/>
                <w:color w:val="auto"/>
              </w:rPr>
            </w:pPr>
          </w:p>
        </w:tc>
      </w:tr>
      <w:tr>
        <w:trPr>
          <w:trHeight w:val="189"/>
        </w:trPr>
        <w:tc>
          <w:tcPr>
            <w:tcW w:w="1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2023</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2022</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2023</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2022</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IoT Products &amp; Services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47,117</w:t>
            </w:r>
          </w:p>
        </w:tc>
        <w:tc>
          <w:tcPr>
            <w:tcW w:w="34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54.9 %</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38,461</w:t>
            </w:r>
          </w:p>
        </w:tc>
        <w:tc>
          <w:tcPr>
            <w:tcW w:w="36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53.9 %</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w:t>
            </w:r>
          </w:p>
        </w:tc>
        <w:tc>
          <w:tcPr>
            <w:tcW w:w="20" w:type="dxa"/>
            <w:vAlign w:val="bottom"/>
          </w:tcPr>
          <w:p>
            <w:pPr>
              <w:spacing w:after="0"/>
              <w:rPr>
                <w:sz w:val="16"/>
                <w:szCs w:val="16"/>
                <w:color w:val="auto"/>
              </w:rPr>
            </w:pP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93,138</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54.7 %</w:t>
            </w:r>
          </w:p>
        </w:tc>
        <w:tc>
          <w:tcPr>
            <w:tcW w:w="40" w:type="dxa"/>
            <w:vAlign w:val="bottom"/>
          </w:tcPr>
          <w:p>
            <w:pPr>
              <w:spacing w:after="0"/>
              <w:rPr>
                <w:sz w:val="16"/>
                <w:szCs w:val="16"/>
                <w:color w:val="auto"/>
              </w:rPr>
            </w:pPr>
          </w:p>
        </w:tc>
        <w:tc>
          <w:tcPr>
            <w:tcW w:w="2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74,136</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10"/>
        </w:trPr>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IoT Solutions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15,755</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13,523</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57.9 %</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31,255</w:t>
            </w:r>
          </w:p>
        </w:tc>
        <w:tc>
          <w:tcPr>
            <w:tcW w:w="4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62.2 %</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25,729</w:t>
            </w:r>
          </w:p>
        </w:tc>
        <w:tc>
          <w:tcPr>
            <w:tcW w:w="20" w:type="dxa"/>
            <w:vAlign w:val="bottom"/>
            <w:tcBorders>
              <w:bottom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6"/>
        </w:trPr>
        <w:tc>
          <w:tcPr>
            <w:tcW w:w="1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gross profit</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62,872</w:t>
            </w:r>
          </w:p>
        </w:tc>
        <w:tc>
          <w:tcPr>
            <w:tcW w:w="3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56.6 %</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51,984</w:t>
            </w:r>
          </w:p>
        </w:tc>
        <w:tc>
          <w:tcPr>
            <w:tcW w:w="36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54.9 %</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124,393</w:t>
            </w:r>
          </w:p>
        </w:tc>
        <w:tc>
          <w:tcPr>
            <w:tcW w:w="4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56.4 %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99,865</w:t>
            </w:r>
          </w:p>
        </w:tc>
        <w:tc>
          <w:tcPr>
            <w:tcW w:w="2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1"/>
        </w:trPr>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Product &amp; Services</w:t>
      </w:r>
    </w:p>
    <w:p>
      <w:pPr>
        <w:spacing w:after="0" w:line="18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IoT Products &amp; Services gross profit margin increased 100 basis points for the three months ended March 31, 2023 as compared to the same period in the prior fiscal year. IoT Products &amp; Services gross profit margin increased 60 basis points for the six months ended March 31, 2023 as compared to the same period in the prior fiscal year. These increases were primarily a result of changes in product and customer mix.</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Solutions</w:t>
      </w:r>
    </w:p>
    <w:p>
      <w:pPr>
        <w:spacing w:after="0" w:line="20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IoT Solutions gross profit margin increased 450 basis points for the three months ended March 31, 2023 as compared to the same period in the prior fiscal year. This increase primarily was a result of changes in product and customer mix.</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IoT Solutions gross profit margin increased 70 basis points for the six months ended March 31, 2023 as compared to the same period in the prior fiscal year. This increase primarily was a result of changes in product and customer mix partially offset by increased expenses for inventory reserves.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our operating expenses and operating expenses as a percentage of total revenue: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40" w:type="dxa"/>
            <w:vAlign w:val="bottom"/>
            <w:gridSpan w:val="7"/>
          </w:tcPr>
          <w:p>
            <w:pPr>
              <w:jc w:val="right"/>
              <w:ind w:right="12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40" w:type="dxa"/>
            <w:vAlign w:val="bottom"/>
            <w:gridSpan w:val="8"/>
          </w:tcPr>
          <w:p>
            <w:pPr>
              <w:jc w:val="right"/>
              <w:ind w:right="220"/>
              <w:spacing w:after="0"/>
              <w:rPr>
                <w:sz w:val="20"/>
                <w:szCs w:val="20"/>
                <w:color w:val="auto"/>
              </w:rPr>
            </w:pPr>
            <w:r>
              <w:rPr>
                <w:rFonts w:ascii="Times New Roman" w:cs="Times New Roman" w:eastAsia="Times New Roman" w:hAnsi="Times New Roman"/>
                <w:sz w:val="14"/>
                <w:szCs w:val="14"/>
                <w:color w:val="auto"/>
              </w:rPr>
              <w:t>Six months ended March 31,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w w:val="94"/>
              </w:rPr>
              <w:t>incr.</w:t>
            </w:r>
          </w:p>
        </w:tc>
        <w:tc>
          <w:tcPr>
            <w:tcW w:w="100" w:type="dxa"/>
            <w:vAlign w:val="bottom"/>
          </w:tcPr>
          <w:p>
            <w:pPr>
              <w:spacing w:after="0"/>
              <w:rPr>
                <w:sz w:val="2"/>
                <w:szCs w:val="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incr.</w:t>
            </w: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incr.</w:t>
            </w:r>
          </w:p>
        </w:tc>
        <w:tc>
          <w:tcPr>
            <w:tcW w:w="120" w:type="dxa"/>
            <w:vAlign w:val="bottom"/>
          </w:tcPr>
          <w:p>
            <w:pPr>
              <w:spacing w:after="0"/>
              <w:rPr>
                <w:sz w:val="2"/>
                <w:szCs w:val="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incr.</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thousands)</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gridSpan w:val="3"/>
            <w:vMerge w:val="restart"/>
          </w:tcPr>
          <w:p>
            <w:pPr>
              <w:jc w:val="right"/>
              <w:ind w:right="508"/>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2022</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2023</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2022</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48"/>
              <w:spacing w:after="0" w:line="125" w:lineRule="exact"/>
              <w:rPr>
                <w:sz w:val="20"/>
                <w:szCs w:val="20"/>
                <w:color w:val="auto"/>
              </w:rPr>
            </w:pPr>
            <w:r>
              <w:rPr>
                <w:rFonts w:ascii="Times New Roman" w:cs="Times New Roman" w:eastAsia="Times New Roman" w:hAnsi="Times New Roman"/>
                <w:sz w:val="14"/>
                <w:szCs w:val="14"/>
                <w:color w:val="auto"/>
                <w:w w:val="97"/>
              </w:rPr>
              <w:t>(decr.)</w:t>
            </w: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color w:val="auto"/>
                <w:w w:val="97"/>
              </w:rPr>
              <w:t>(decr.)</w:t>
            </w:r>
          </w:p>
        </w:tc>
        <w:tc>
          <w:tcPr>
            <w:tcW w:w="1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8"/>
              <w:spacing w:after="0" w:line="125" w:lineRule="exact"/>
              <w:rPr>
                <w:sz w:val="20"/>
                <w:szCs w:val="20"/>
                <w:color w:val="auto"/>
              </w:rPr>
            </w:pPr>
            <w:r>
              <w:rPr>
                <w:rFonts w:ascii="Times New Roman" w:cs="Times New Roman" w:eastAsia="Times New Roman" w:hAnsi="Times New Roman"/>
                <w:sz w:val="14"/>
                <w:szCs w:val="14"/>
                <w:color w:val="auto"/>
              </w:rPr>
              <w:t>(decr.)</w:t>
            </w:r>
          </w:p>
        </w:tc>
        <w:tc>
          <w:tcPr>
            <w:tcW w:w="120" w:type="dxa"/>
            <w:vAlign w:val="bottom"/>
          </w:tcPr>
          <w:p>
            <w:pPr>
              <w:spacing w:after="0"/>
              <w:rPr>
                <w:sz w:val="12"/>
                <w:szCs w:val="12"/>
                <w:color w:val="auto"/>
              </w:rPr>
            </w:pPr>
          </w:p>
        </w:tc>
        <w:tc>
          <w:tcPr>
            <w:tcW w:w="7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color w:val="auto"/>
              </w:rPr>
              <w:t>(decr.)</w:t>
            </w: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20,341</w:t>
            </w:r>
          </w:p>
        </w:tc>
        <w:tc>
          <w:tcPr>
            <w:tcW w:w="88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18.3 %</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17,776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18.8 %</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2,565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17.9 %</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18.5 %</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19.2 %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15,155</w:t>
            </w:r>
          </w:p>
        </w:tc>
        <w:tc>
          <w:tcPr>
            <w:tcW w:w="8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13,819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1,336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8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15,201</w:t>
            </w:r>
          </w:p>
        </w:tc>
        <w:tc>
          <w:tcPr>
            <w:tcW w:w="88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12,825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2,376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31,559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28,176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3,383</w:t>
            </w:r>
          </w:p>
        </w:tc>
        <w:tc>
          <w:tcPr>
            <w:tcW w:w="8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72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50,697</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45.6 %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44,420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46.9 %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6,277</w:t>
            </w:r>
          </w:p>
        </w:tc>
        <w:tc>
          <w:tcPr>
            <w:tcW w:w="7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100,255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45.5 %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49.5 %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11,753</w:t>
            </w:r>
          </w:p>
        </w:tc>
        <w:tc>
          <w:tcPr>
            <w:tcW w:w="8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$6.3 million increase in operating expenses in the second quarter of fiscal 2023 from the second quarter of fiscal 2022 was the result of incremental operating expenses, primarily from investments in SmartSense. The $11.8 million increase in operating expenses in the first half of fiscal 2023 from the first half of fiscal 2022 primarily was the result of incremental operating expenses, primarily from the acquisition of Ventus and investments in SmartSense.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color w:val="auto"/>
              </w:rPr>
              <w:t>Three months ended</w:t>
            </w:r>
          </w:p>
        </w:tc>
        <w:tc>
          <w:tcPr>
            <w:tcW w:w="160" w:type="dxa"/>
            <w:vAlign w:val="bottom"/>
          </w:tcPr>
          <w:p>
            <w:pPr>
              <w:spacing w:after="0"/>
              <w:rPr>
                <w:sz w:val="13"/>
                <w:szCs w:val="13"/>
                <w:color w:val="auto"/>
              </w:rPr>
            </w:pPr>
          </w:p>
        </w:tc>
        <w:tc>
          <w:tcPr>
            <w:tcW w:w="6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72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color w:val="auto"/>
              </w:rPr>
              <w:t>Six months ended March 31,</w:t>
            </w:r>
          </w:p>
        </w:tc>
        <w:tc>
          <w:tcPr>
            <w:tcW w:w="140" w:type="dxa"/>
            <w:vAlign w:val="bottom"/>
          </w:tcPr>
          <w:p>
            <w:pPr>
              <w:spacing w:after="0"/>
              <w:rPr>
                <w:sz w:val="13"/>
                <w:szCs w:val="13"/>
                <w:color w:val="auto"/>
              </w:rPr>
            </w:pPr>
          </w:p>
        </w:tc>
        <w:tc>
          <w:tcPr>
            <w:tcW w:w="6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color w:val="auto"/>
              </w:rPr>
              <w:t>March 31,</w:t>
            </w: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6"/>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3320" w:type="dxa"/>
            <w:vAlign w:val="bottom"/>
            <w:vMerge w:val="restart"/>
          </w:tcPr>
          <w:p>
            <w:pPr>
              <w:jc w:val="right"/>
              <w:ind w:right="2288"/>
              <w:spacing w:after="0"/>
              <w:rPr>
                <w:sz w:val="20"/>
                <w:szCs w:val="20"/>
                <w:color w:val="auto"/>
              </w:rPr>
            </w:pPr>
            <w:r>
              <w:rPr>
                <w:rFonts w:ascii="Times New Roman" w:cs="Times New Roman" w:eastAsia="Times New Roman" w:hAnsi="Times New Roman"/>
                <w:sz w:val="14"/>
                <w:szCs w:val="14"/>
                <w:color w:val="auto"/>
              </w:rPr>
              <w:t>($ in thousands)</w:t>
            </w: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center"/>
              <w:ind w:right="68"/>
              <w:spacing w:after="0" w:line="126" w:lineRule="exact"/>
              <w:rPr>
                <w:sz w:val="20"/>
                <w:szCs w:val="20"/>
                <w:color w:val="auto"/>
              </w:rPr>
            </w:pPr>
            <w:r>
              <w:rPr>
                <w:rFonts w:ascii="Times New Roman" w:cs="Times New Roman" w:eastAsia="Times New Roman" w:hAnsi="Times New Roman"/>
                <w:sz w:val="14"/>
                <w:szCs w:val="14"/>
                <w:color w:val="auto"/>
              </w:rPr>
              <w:t>incr.</w:t>
            </w:r>
          </w:p>
        </w:tc>
        <w:tc>
          <w:tcPr>
            <w:tcW w:w="1280" w:type="dxa"/>
            <w:vAlign w:val="bottom"/>
          </w:tcPr>
          <w:p>
            <w:pPr>
              <w:spacing w:after="0"/>
              <w:rPr>
                <w:sz w:val="10"/>
                <w:szCs w:val="10"/>
                <w:color w:val="auto"/>
              </w:rPr>
            </w:pPr>
          </w:p>
        </w:tc>
        <w:tc>
          <w:tcPr>
            <w:tcW w:w="84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4"/>
                <w:szCs w:val="14"/>
                <w:color w:val="auto"/>
              </w:rPr>
              <w:t>incr.</w:t>
            </w: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center"/>
              <w:ind w:right="48"/>
              <w:spacing w:after="0" w:line="126" w:lineRule="exact"/>
              <w:rPr>
                <w:sz w:val="20"/>
                <w:szCs w:val="20"/>
                <w:color w:val="auto"/>
              </w:rPr>
            </w:pPr>
            <w:r>
              <w:rPr>
                <w:rFonts w:ascii="Times New Roman" w:cs="Times New Roman" w:eastAsia="Times New Roman" w:hAnsi="Times New Roman"/>
                <w:sz w:val="14"/>
                <w:szCs w:val="14"/>
                <w:color w:val="auto"/>
              </w:rPr>
              <w:t>incr.</w:t>
            </w:r>
          </w:p>
        </w:tc>
        <w:tc>
          <w:tcPr>
            <w:tcW w:w="100" w:type="dxa"/>
            <w:vAlign w:val="bottom"/>
          </w:tcPr>
          <w:p>
            <w:pPr>
              <w:spacing w:after="0"/>
              <w:rPr>
                <w:sz w:val="10"/>
                <w:szCs w:val="10"/>
                <w:color w:val="auto"/>
              </w:rPr>
            </w:pPr>
          </w:p>
        </w:tc>
        <w:tc>
          <w:tcPr>
            <w:tcW w:w="7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w w:val="94"/>
              </w:rPr>
              <w:t>incr.</w:t>
            </w:r>
          </w:p>
        </w:tc>
        <w:tc>
          <w:tcPr>
            <w:tcW w:w="0" w:type="dxa"/>
            <w:vAlign w:val="bottom"/>
          </w:tcPr>
          <w:p>
            <w:pPr>
              <w:spacing w:after="0"/>
              <w:rPr>
                <w:sz w:val="1"/>
                <w:szCs w:val="1"/>
                <w:color w:val="auto"/>
              </w:rPr>
            </w:pPr>
          </w:p>
        </w:tc>
      </w:tr>
      <w:tr>
        <w:trPr>
          <w:trHeight w:val="193"/>
        </w:trPr>
        <w:tc>
          <w:tcPr>
            <w:tcW w:w="33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(decr.)</w:t>
            </w:r>
          </w:p>
        </w:tc>
        <w:tc>
          <w:tcPr>
            <w:tcW w:w="1280" w:type="dxa"/>
            <w:vAlign w:val="bottom"/>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(decr.)</w:t>
            </w:r>
          </w:p>
        </w:tc>
        <w:tc>
          <w:tcPr>
            <w:tcW w:w="1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(decr.)</w:t>
            </w:r>
          </w:p>
        </w:tc>
        <w:tc>
          <w:tcPr>
            <w:tcW w:w="1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(decr.)</w:t>
            </w:r>
          </w:p>
        </w:tc>
        <w:tc>
          <w:tcPr>
            <w:tcW w:w="0" w:type="dxa"/>
            <w:vAlign w:val="bottom"/>
          </w:tcPr>
          <w:p>
            <w:pPr>
              <w:spacing w:after="0"/>
              <w:rPr>
                <w:sz w:val="1"/>
                <w:szCs w:val="1"/>
                <w:color w:val="auto"/>
              </w:rPr>
            </w:pPr>
          </w:p>
        </w:tc>
      </w:tr>
      <w:tr>
        <w:trPr>
          <w:trHeight w:val="201"/>
        </w:trPr>
        <w:tc>
          <w:tcPr>
            <w:tcW w:w="3320" w:type="dxa"/>
            <w:vAlign w:val="bottom"/>
            <w:tcBorders>
              <w:top w:val="single" w:sz="8" w:color="auto"/>
            </w:tcBorders>
            <w:shd w:val="clear" w:color="auto" w:fill="CCEEFF"/>
          </w:tcPr>
          <w:p>
            <w:pPr>
              <w:jc w:val="right"/>
              <w:ind w:right="1688"/>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20" w:type="dxa"/>
            <w:vAlign w:val="bottom"/>
          </w:tcPr>
          <w:p>
            <w:pPr>
              <w:jc w:val="right"/>
              <w:ind w:right="1688"/>
              <w:spacing w:after="0"/>
              <w:rPr>
                <w:sz w:val="20"/>
                <w:szCs w:val="20"/>
                <w:color w:val="auto"/>
              </w:rPr>
            </w:pPr>
            <w:r>
              <w:rPr>
                <w:rFonts w:ascii="Times New Roman" w:cs="Times New Roman" w:eastAsia="Times New Roman" w:hAnsi="Times New Roman"/>
                <w:sz w:val="14"/>
                <w:szCs w:val="14"/>
                <w:color w:val="auto"/>
              </w:rPr>
              <w:t>IoT Products &amp; Services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12,965</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9,049</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3,916</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0.432755000552547</w:t>
            </w:r>
          </w:p>
        </w:tc>
        <w:tc>
          <w:tcPr>
            <w:tcW w:w="7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25,648</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13,165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jc w:val="right"/>
              <w:ind w:right="2308"/>
              <w:spacing w:after="0"/>
              <w:rPr>
                <w:sz w:val="20"/>
                <w:szCs w:val="20"/>
                <w:color w:val="auto"/>
              </w:rPr>
            </w:pPr>
            <w:r>
              <w:rPr>
                <w:rFonts w:ascii="Times New Roman" w:cs="Times New Roman" w:eastAsia="Times New Roman" w:hAnsi="Times New Roman"/>
                <w:sz w:val="14"/>
                <w:szCs w:val="14"/>
                <w:color w:val="auto"/>
              </w:rPr>
              <w:t>IoT Solutions</w:t>
            </w: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(1,485)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-0.468013468013468</w:t>
            </w:r>
          </w:p>
        </w:tc>
        <w:tc>
          <w:tcPr>
            <w:tcW w:w="740" w:type="dxa"/>
            <w:vAlign w:val="bottom"/>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(1,510)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(1,802)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203"/>
        </w:trPr>
        <w:tc>
          <w:tcPr>
            <w:tcW w:w="3320" w:type="dxa"/>
            <w:vAlign w:val="bottom"/>
          </w:tcPr>
          <w:p>
            <w:pPr>
              <w:jc w:val="right"/>
              <w:ind w:right="2028"/>
              <w:spacing w:after="0"/>
              <w:rPr>
                <w:sz w:val="20"/>
                <w:szCs w:val="20"/>
                <w:color w:val="auto"/>
              </w:rPr>
            </w:pPr>
            <w:r>
              <w:rPr>
                <w:rFonts w:ascii="Times New Roman" w:cs="Times New Roman" w:eastAsia="Times New Roman" w:hAnsi="Times New Roman"/>
                <w:sz w:val="14"/>
                <w:szCs w:val="14"/>
                <w:color w:val="auto"/>
              </w:rPr>
              <w:t>Total gross profit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color w:val="auto"/>
              </w:rPr>
              <w:t>7,564</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4,611</w:t>
            </w:r>
          </w:p>
        </w:tc>
        <w:tc>
          <w:tcPr>
            <w:tcW w:w="1280" w:type="dxa"/>
            <w:vAlign w:val="bottom"/>
          </w:tcPr>
          <w:p>
            <w:pPr>
              <w:spacing w:after="0"/>
              <w:rPr>
                <w:sz w:val="17"/>
                <w:szCs w:val="17"/>
                <w:color w:val="auto"/>
              </w:rPr>
            </w:pPr>
          </w:p>
        </w:tc>
        <w:tc>
          <w:tcPr>
            <w:tcW w:w="7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tcPr>
          <w:p>
            <w:pPr>
              <w:spacing w:after="0"/>
              <w:rPr>
                <w:sz w:val="17"/>
                <w:szCs w:val="17"/>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24,138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11,363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12,775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Drivers for the changes in operating income for the periods presented are described above in the revenue, gross profit and operating expenses details.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our other expenses, net and other expenses, net as a percentage of total revenue: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9"/>
          </w:tcPr>
          <w:p>
            <w:pPr>
              <w:jc w:val="right"/>
              <w:ind w:right="16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60" w:type="dxa"/>
            <w:vAlign w:val="bottom"/>
            <w:gridSpan w:val="8"/>
          </w:tcPr>
          <w:p>
            <w:pPr>
              <w:jc w:val="right"/>
              <w:ind w:right="240"/>
              <w:spacing w:after="0"/>
              <w:rPr>
                <w:sz w:val="20"/>
                <w:szCs w:val="20"/>
                <w:color w:val="auto"/>
              </w:rPr>
            </w:pPr>
            <w:r>
              <w:rPr>
                <w:rFonts w:ascii="Times New Roman" w:cs="Times New Roman" w:eastAsia="Times New Roman" w:hAnsi="Times New Roman"/>
                <w:sz w:val="14"/>
                <w:szCs w:val="14"/>
                <w:color w:val="auto"/>
              </w:rPr>
              <w:t>Six months ended March 31,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incr.</w:t>
            </w:r>
          </w:p>
        </w:tc>
        <w:tc>
          <w:tcPr>
            <w:tcW w:w="100" w:type="dxa"/>
            <w:vAlign w:val="bottom"/>
          </w:tcPr>
          <w:p>
            <w:pPr>
              <w:spacing w:after="0"/>
              <w:rPr>
                <w:sz w:val="2"/>
                <w:szCs w:val="2"/>
                <w:color w:val="auto"/>
              </w:rPr>
            </w:pP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incr.</w:t>
            </w: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incr.</w:t>
            </w:r>
          </w:p>
        </w:tc>
        <w:tc>
          <w:tcPr>
            <w:tcW w:w="100" w:type="dxa"/>
            <w:vAlign w:val="bottom"/>
          </w:tcPr>
          <w:p>
            <w:pPr>
              <w:spacing w:after="0"/>
              <w:rPr>
                <w:sz w:val="2"/>
                <w:szCs w:val="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incr.</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thousands)</w:t>
            </w:r>
          </w:p>
        </w:tc>
        <w:tc>
          <w:tcPr>
            <w:tcW w:w="8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2023</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2022</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2023</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2022</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68"/>
              <w:spacing w:after="0" w:line="125" w:lineRule="exact"/>
              <w:rPr>
                <w:sz w:val="20"/>
                <w:szCs w:val="20"/>
                <w:color w:val="auto"/>
              </w:rPr>
            </w:pPr>
            <w:r>
              <w:rPr>
                <w:rFonts w:ascii="Times New Roman" w:cs="Times New Roman" w:eastAsia="Times New Roman" w:hAnsi="Times New Roman"/>
                <w:sz w:val="14"/>
                <w:szCs w:val="14"/>
                <w:color w:val="auto"/>
              </w:rPr>
              <w:t>(decr.)</w:t>
            </w: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color w:val="auto"/>
              </w:rPr>
              <w:t>(decr.)</w:t>
            </w:r>
          </w:p>
        </w:tc>
        <w:tc>
          <w:tcPr>
            <w:tcW w:w="104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68"/>
              <w:spacing w:after="0" w:line="125" w:lineRule="exact"/>
              <w:rPr>
                <w:sz w:val="20"/>
                <w:szCs w:val="20"/>
                <w:color w:val="auto"/>
              </w:rPr>
            </w:pPr>
            <w:r>
              <w:rPr>
                <w:rFonts w:ascii="Times New Roman" w:cs="Times New Roman" w:eastAsia="Times New Roman" w:hAnsi="Times New Roman"/>
                <w:sz w:val="14"/>
                <w:szCs w:val="14"/>
                <w:color w:val="auto"/>
              </w:rPr>
              <w:t>(decr.)</w:t>
            </w:r>
          </w:p>
        </w:tc>
        <w:tc>
          <w:tcPr>
            <w:tcW w:w="100" w:type="dxa"/>
            <w:vAlign w:val="bottom"/>
          </w:tcPr>
          <w:p>
            <w:pPr>
              <w:spacing w:after="0"/>
              <w:rPr>
                <w:sz w:val="12"/>
                <w:szCs w:val="12"/>
                <w:color w:val="auto"/>
              </w:rPr>
            </w:pPr>
          </w:p>
        </w:tc>
        <w:tc>
          <w:tcPr>
            <w:tcW w:w="6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color w:val="auto"/>
              </w:rPr>
              <w:t>(decr.)</w:t>
            </w: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expense, net</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expense, net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Total other expense, net</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(6,346)</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(12,300)</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(9,324)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means not meaningful</w:t>
      </w:r>
    </w:p>
    <w:p>
      <w:pPr>
        <w:spacing w:after="0" w:line="1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Other expense, net, increased $2.0 million for the three months ended March 31, 2023, as compared to the same period in the prior fiscal year. Other expense, net, increased $3.0 million for the six months ended March 31, 2023, as compared to the same period in the prior fiscal year. The increases were primarily a result of an increase in our interest expense due to an increase in our effective interest rate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to the condensed consolidated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to the condensed consolidated financial statements for discussion of 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BUSINESS METRIC</w:t>
      </w:r>
    </w:p>
    <w:p>
      <w:pPr>
        <w:spacing w:after="0" w:line="19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ARR represents the annualized monthly value of all billable subscription contracts, measured at the end of any fiscal period. ARR should be viewed independently of revenue and deferred revenue and is not intended to replace or forecast either of these items. Digi management uses ARR to manage and assess the growth of our subscription revenue business. We believe ARR is an indicator of the scale of our subscription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FINANCIAL INFORMATION</w:t>
      </w:r>
    </w:p>
    <w:p>
      <w:pPr>
        <w:spacing w:after="0" w:line="18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This report includes adjusted net income, adjusted net income per diluted share and adjusted earnings before interest, taxes and amortization ("Adjusted EBITDA"), each of which is a non-GAAP financial measure.</w:t>
      </w:r>
    </w:p>
    <w:p>
      <w:pPr>
        <w:spacing w:after="0" w:line="13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Non-GAAP measures are not substitutes for GAAP measures for the purpose of analyzing financial performance. The disclosure of these measures does not reflect all charges and gains that actually were recognized by Digi. These non-GAAP measures are not in accordance with, or, an alternative for measures prepared in accordance with GAAP and may be different from non-GAAP measures used by other companies or presented by us in prior reports. In addition, these non-GAAP measures are not based on any comprehensive set of accounting rules or principles. We believe that non-GAAP measures have limitations in that they do not reflect all of the amounts associated with our results of operations as determined in accordance with GAAP. We believe these measures should only be used to evaluate our results of operations in conjunction with the corresponding GAAP measures. Additionally, Adjusted EBITDA does not reflect our cash expenditures, the cash requirements for the replacement of depreciated and amortized assets, or changes in or cash requirements for our working capital needs.</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believe that providing historical and adjusted net income and adjusted net income per diluted share, respectively, exclusive of such items as reversals of tax reserves, discrete tax benefits, restructuring charges and reversals, intangible amortization, stock-based compensation, other non-operating income/expense, adjustments to estimates of contingent consideration, acquisition-related expenses and interest expense related to acquisition permits investors to compare results with prior periods that did not include these items. Management uses the aforementioned non-GAAP measures to monitor and evaluate ongoing operating results and trends and to gain an understanding of our comparative operating performance. In addition, certain of our stockholders have expressed an interest in seeing financial performance measures exclusive of the impact of these matters, which while important, are not central to the core operations of our business. Management believes that Adjusted EBITDA, defined as EBITDA adjusted for stock-based compensation expense, acquisition-related expenses, restructuring charges and reversals and changes in fair value of contingent consideration is useful to investors to evaluate our core operating results and financial performance because it excludes items that are significant non-cash or non-recurring expenses reflected in the consolidated statements of operations. We believe that the presentation of Adjusted EBITDA as a percentage of revenue is useful because it provides a reliable and consistent approach to measuring our performance from year to year and in assessing our performance against that of other companies. We believe this information helps compare operating results and corporate performance exclusive of the impact of our capital structure and the method by which assets were acquired.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reconciliations from GAAP to non-GAAP information that we feel is important to our business: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8"/>
          </w:tcPr>
          <w:p>
            <w:pPr>
              <w:jc w:val="right"/>
              <w:ind w:right="160"/>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color w:val="auto"/>
              </w:rPr>
              <w:t>Six months ended March 31,</w:t>
            </w:r>
          </w:p>
        </w:tc>
        <w:tc>
          <w:tcPr>
            <w:tcW w:w="920" w:type="dxa"/>
            <w:vAlign w:val="bottom"/>
            <w:tcBorders>
              <w:bottom w:val="single" w:sz="8" w:color="auto"/>
            </w:tcBorders>
          </w:tcPr>
          <w:p>
            <w:pPr>
              <w:spacing w:after="0"/>
              <w:rPr>
                <w:sz w:val="18"/>
                <w:szCs w:val="18"/>
                <w:color w:val="auto"/>
              </w:rPr>
            </w:pPr>
          </w:p>
        </w:tc>
      </w:tr>
      <w:tr>
        <w:trPr>
          <w:trHeight w:val="210"/>
        </w:trPr>
        <w:tc>
          <w:tcPr>
            <w:tcW w:w="3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67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679"/>
              <w:spacing w:after="0"/>
              <w:rPr>
                <w:sz w:val="20"/>
                <w:szCs w:val="20"/>
                <w:color w:val="auto"/>
              </w:rPr>
            </w:pPr>
            <w:r>
              <w:rPr>
                <w:rFonts w:ascii="Times New Roman" w:cs="Times New Roman" w:eastAsia="Times New Roman" w:hAnsi="Times New Roman"/>
                <w:sz w:val="16"/>
                <w:szCs w:val="16"/>
                <w:color w:val="auto"/>
              </w:rPr>
              <w:t>2022</w:t>
            </w:r>
          </w:p>
        </w:tc>
      </w:tr>
      <w:tr>
        <w:trPr>
          <w:trHeight w:val="158"/>
        </w:trPr>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color w:val="auto"/>
              </w:rPr>
              <w:t>% of total</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color w:val="auto"/>
              </w:rPr>
              <w:t>% of total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rPr>
              <w:t>% of total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9"/>
              <w:spacing w:after="0" w:line="158" w:lineRule="exact"/>
              <w:rPr>
                <w:sz w:val="20"/>
                <w:szCs w:val="20"/>
                <w:color w:val="auto"/>
              </w:rPr>
            </w:pPr>
            <w:r>
              <w:rPr>
                <w:rFonts w:ascii="Times New Roman" w:cs="Times New Roman" w:eastAsia="Times New Roman" w:hAnsi="Times New Roman"/>
                <w:sz w:val="16"/>
                <w:szCs w:val="16"/>
                <w:color w:val="auto"/>
              </w:rPr>
              <w:t>% of total</w:t>
            </w:r>
          </w:p>
        </w:tc>
      </w:tr>
      <w:tr>
        <w:trPr>
          <w:trHeight w:val="213"/>
        </w:trPr>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8"/>
              </w:rPr>
              <w:t>revenue</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8"/>
              </w:rPr>
              <w:t>revenue</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revenue</w:t>
            </w:r>
          </w:p>
        </w:tc>
      </w:tr>
      <w:tr>
        <w:trPr>
          <w:trHeight w:val="229"/>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94,713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220,450</w:t>
            </w:r>
          </w:p>
        </w:tc>
        <w:tc>
          <w:tcPr>
            <w:tcW w:w="180" w:type="dxa"/>
            <w:vAlign w:val="bottom"/>
            <w:tcBorders>
              <w:top w:val="single" w:sz="8" w:color="CCEEFF"/>
            </w:tcBorders>
            <w:gridSpan w:val="2"/>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178,970</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06"/>
        </w:trPr>
        <w:tc>
          <w:tcPr>
            <w:tcW w:w="3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16,646</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charge</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expense</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21.5 %</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47,227</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21.4 %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36,495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20.4 %</w:t>
            </w:r>
          </w:p>
        </w:tc>
      </w:tr>
      <w:tr>
        <w:trPr>
          <w:trHeight w:val="20"/>
        </w:trPr>
        <w:tc>
          <w:tcPr>
            <w:tcW w:w="3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and Net Income per Diluted Share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Net Income and Adjusted Net Income per Diluted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6"/>
                <w:szCs w:val="16"/>
                <w:color w:val="auto"/>
              </w:rPr>
              <w:t>Six months ended March 31,</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2023</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2022</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2023</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2022</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and net income per diluted share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non-operating income</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expense</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charge</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 effect from the above adjustments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Discrete tax expenses (benefits) </w:t>
            </w:r>
            <w:r>
              <w:rPr>
                <w:rFonts w:ascii="Times New Roman" w:cs="Times New Roman" w:eastAsia="Times New Roman" w:hAnsi="Times New Roman"/>
                <w:sz w:val="21"/>
                <w:szCs w:val="21"/>
                <w:color w:val="auto"/>
                <w:vertAlign w:val="superscript"/>
              </w:rPr>
              <w:t>(2)</w:t>
            </w: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142"/>
        </w:trPr>
        <w:tc>
          <w:tcPr>
            <w:tcW w:w="354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Adjusted net income and adjusted net income per</w:t>
            </w: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18,222</w:t>
            </w: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34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14,479</w:t>
            </w:r>
          </w:p>
        </w:tc>
        <w:tc>
          <w:tcPr>
            <w:tcW w:w="100" w:type="dxa"/>
            <w:vAlign w:val="bottom"/>
          </w:tcPr>
          <w:p>
            <w:pPr>
              <w:spacing w:after="0"/>
              <w:rPr>
                <w:sz w:val="12"/>
                <w:szCs w:val="12"/>
                <w:color w:val="auto"/>
              </w:rPr>
            </w:pP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34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36,013</w:t>
            </w: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34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27,205</w:t>
            </w:r>
          </w:p>
        </w:tc>
        <w:tc>
          <w:tcPr>
            <w:tcW w:w="120" w:type="dxa"/>
            <w:vAlign w:val="bottom"/>
          </w:tcPr>
          <w:p>
            <w:pPr>
              <w:spacing w:after="0"/>
              <w:rPr>
                <w:sz w:val="12"/>
                <w:szCs w:val="12"/>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0" w:type="dxa"/>
            <w:vAlign w:val="bottom"/>
          </w:tcPr>
          <w:p>
            <w:pPr>
              <w:spacing w:after="0"/>
              <w:rPr>
                <w:sz w:val="1"/>
                <w:szCs w:val="1"/>
                <w:color w:val="auto"/>
              </w:rPr>
            </w:pPr>
          </w:p>
        </w:tc>
      </w:tr>
      <w:tr>
        <w:trPr>
          <w:trHeight w:val="189"/>
        </w:trPr>
        <w:tc>
          <w:tcPr>
            <w:tcW w:w="3540" w:type="dxa"/>
            <w:vAlign w:val="bottom"/>
          </w:tcPr>
          <w:p>
            <w:pPr>
              <w:ind w:left="20"/>
              <w:spacing w:after="0" w:line="189" w:lineRule="exact"/>
              <w:rPr>
                <w:sz w:val="20"/>
                <w:szCs w:val="20"/>
                <w:color w:val="auto"/>
              </w:rPr>
            </w:pPr>
            <w:r>
              <w:rPr>
                <w:rFonts w:ascii="Times New Roman" w:cs="Times New Roman" w:eastAsia="Times New Roman" w:hAnsi="Times New Roman"/>
                <w:sz w:val="16"/>
                <w:szCs w:val="16"/>
                <w:color w:val="auto"/>
              </w:rPr>
              <w:t xml:space="preserve">diluted share </w:t>
            </w:r>
            <w:r>
              <w:rPr>
                <w:rFonts w:ascii="Times New Roman" w:cs="Times New Roman" w:eastAsia="Times New Roman" w:hAnsi="Times New Roman"/>
                <w:sz w:val="21"/>
                <w:szCs w:val="21"/>
                <w:color w:val="auto"/>
                <w:vertAlign w:val="superscript"/>
              </w:rPr>
              <w:t>(3)</w:t>
            </w:r>
          </w:p>
        </w:tc>
        <w:tc>
          <w:tcPr>
            <w:tcW w:w="24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shares</w:t>
            </w:r>
          </w:p>
        </w:tc>
        <w:tc>
          <w:tcPr>
            <w:tcW w:w="2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36,730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36,821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35,710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effect from the above adjustments assumes an estimated effective tax rate of 18.0% for fiscal 2023 and fiscal 2022 based on adjusted net income.</w:t>
      </w:r>
    </w:p>
    <w:p>
      <w:pPr>
        <w:spacing w:after="0" w:line="26" w:lineRule="exact"/>
        <w:rPr>
          <w:rFonts w:ascii="Times New Roman" w:cs="Times New Roman" w:eastAsia="Times New Roman" w:hAnsi="Times New Roman"/>
          <w:sz w:val="16"/>
          <w:szCs w:val="16"/>
          <w:color w:val="auto"/>
        </w:rPr>
      </w:pPr>
    </w:p>
    <w:p>
      <w:pPr>
        <w:ind w:left="340" w:right="300" w:hanging="332"/>
        <w:spacing w:after="0" w:line="253" w:lineRule="auto"/>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six months ended March 31, 2023 and 2022, discrete tax expenses (benefits) primarily are a result of changes in excess tax benefits recognized on stock compensation.</w:t>
      </w:r>
    </w:p>
    <w:p>
      <w:pPr>
        <w:ind w:left="340" w:hanging="332"/>
        <w:spacing w:after="0"/>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net income per diluted share may not add due to the use of rounded numbers.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Historically we have financed our operations and capital expenditures principally with funds generated from operations. In fiscal 2022 we issued debt to fund our acquisition of Ventus. Our liquidity requirements arise from our working capital needs, and to a lesser extent, our need to fund capital expenditures to support our current operations and facilitate growth and expansion.</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On December 2, 2021, we entered into a third amended and restated credit agreement. Digi refinanced the Term Loan Facility and Revolving Loan Facility under its existing credit agreement entered into on November 1, 2021, but did not receive any additional proceeds from nor modify the amounts of any facilities or subfacilities contained within that credit agreement. The credit agreement consists of a $350 million term loan B secured loan and a $35 million revolving credit facility. The $35 million revolving credit facility, which presently has no outstanding balance, includes a $10 million letter of credit subfacility and $10 million swingline subfacility. During the first quarter of fiscal 2022, we repaid all outstanding balances under the credit facility entered into on March 21, 2021. As of March 31, 2023, $35.0 million remained available under the Revolving Loan, which included $10 million available for a letter of credit subfacility and $10 million available under a swingline subfacility, the outstanding amounts of which decrease the available commitment. For additional information regarding the terms of our Credit Facility, including the Revolving Loan and its subfacilities,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to our condensed consolidated financial statements.</w:t>
      </w:r>
    </w:p>
    <w:p>
      <w:pPr>
        <w:spacing w:after="0" w:line="14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expect positive cash flows from operations for the foreseeable future. We believe that our current cash and cash equivalents balances, cash generated from operations and our ability to borrow under our credit facility will be sufficient to fund our business operations and capital expenditures for the next 12 months and beyond.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condensed consolidated statements of cash flows for the six months ended March 31, 2023 and 2022 is summarized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4"/>
          </w:tcPr>
          <w:p>
            <w:pPr>
              <w:jc w:val="right"/>
              <w:ind w:right="448"/>
              <w:spacing w:after="0"/>
              <w:rPr>
                <w:sz w:val="20"/>
                <w:szCs w:val="20"/>
                <w:color w:val="auto"/>
              </w:rPr>
            </w:pPr>
            <w:r>
              <w:rPr>
                <w:rFonts w:ascii="Times New Roman" w:cs="Times New Roman" w:eastAsia="Times New Roman" w:hAnsi="Times New Roman"/>
                <w:sz w:val="14"/>
                <w:szCs w:val="14"/>
                <w:color w:val="auto"/>
              </w:rPr>
              <w:t>Six months ended March 31,</w:t>
            </w:r>
          </w:p>
        </w:tc>
      </w:tr>
      <w:tr>
        <w:trPr>
          <w:trHeight w:val="23"/>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2"/>
        </w:trPr>
        <w:tc>
          <w:tcPr>
            <w:tcW w:w="8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2022</w:t>
            </w:r>
          </w:p>
        </w:tc>
      </w:tr>
      <w:tr>
        <w:trPr>
          <w:trHeight w:val="19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Restated (1)</w:t>
            </w:r>
          </w:p>
        </w:tc>
      </w:tr>
      <w:tr>
        <w:trPr>
          <w:trHeight w:val="23"/>
        </w:trPr>
        <w:tc>
          <w:tcPr>
            <w:tcW w:w="8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11,758</w:t>
            </w:r>
          </w:p>
        </w:tc>
      </w:tr>
      <w:tr>
        <w:trPr>
          <w:trHeight w:val="195"/>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(349,186)</w:t>
            </w:r>
          </w:p>
        </w:tc>
      </w:tr>
      <w:tr>
        <w:trPr>
          <w:trHeight w:val="210"/>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227,048</w:t>
            </w:r>
          </w:p>
        </w:tc>
      </w:tr>
      <w:tr>
        <w:trPr>
          <w:trHeight w:val="196"/>
        </w:trPr>
        <w:tc>
          <w:tcPr>
            <w:tcW w:w="8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(666)</w:t>
            </w:r>
          </w:p>
        </w:tc>
      </w:tr>
      <w:tr>
        <w:trPr>
          <w:trHeight w:val="228"/>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(111,046)</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right="720" w:hanging="332"/>
        <w:spacing w:after="0" w:line="298"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We have restated the condensed consolidated statement of cash flows for the six months ended March 31, 2022. For additional information, see </w:t>
      </w:r>
      <w:r>
        <w:rPr>
          <w:rFonts w:ascii="Times New Roman" w:cs="Times New Roman" w:eastAsia="Times New Roman" w:hAnsi="Times New Roman"/>
          <w:sz w:val="16"/>
          <w:szCs w:val="16"/>
          <w:u w:val="single" w:color="auto"/>
          <w:color w:val="0000FF"/>
        </w:rPr>
        <w:t>Note 2</w:t>
      </w:r>
      <w:r>
        <w:rPr>
          <w:rFonts w:ascii="Times New Roman" w:cs="Times New Roman" w:eastAsia="Times New Roman" w:hAnsi="Times New Roman"/>
          <w:sz w:val="16"/>
          <w:szCs w:val="16"/>
          <w:color w:val="auto"/>
        </w:rPr>
        <w:t xml:space="preserve"> to our condensed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 decreased $2.2 million primarily as a result of:</w:t>
      </w:r>
    </w:p>
    <w:p>
      <w:pPr>
        <w:spacing w:after="0" w:line="187" w:lineRule="exact"/>
        <w:rPr>
          <w:sz w:val="20"/>
          <w:szCs w:val="20"/>
          <w:color w:val="auto"/>
        </w:rPr>
      </w:pPr>
    </w:p>
    <w:p>
      <w:pPr>
        <w:ind w:left="660" w:right="6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operating assets and liabilities (net of acquisitions) in the six months ended March 31, 2023 of $22.7 million compared to an increase of $18.5 million in the six months ended March 31, 2022,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decreases in the provisions for deferred income tax and amortization expense.</w:t>
      </w:r>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increases in net income and stock-based compensation expense.</w:t>
      </w:r>
    </w:p>
    <w:p>
      <w:pPr>
        <w:spacing w:after="0" w:line="200" w:lineRule="exact"/>
        <w:rPr>
          <w:sz w:val="20"/>
          <w:szCs w:val="20"/>
          <w:color w:val="auto"/>
        </w:rPr>
      </w:pPr>
    </w:p>
    <w:p>
      <w:pPr>
        <w:spacing w:after="0" w:line="390" w:lineRule="exact"/>
        <w:rPr>
          <w:sz w:val="20"/>
          <w:szCs w:val="20"/>
          <w:color w:val="auto"/>
        </w:rPr>
      </w:pPr>
    </w:p>
    <w:p>
      <w:pPr>
        <w:ind w:left="660" w:right="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amounts used for the acquisition of businesses in the six months ended March 31, 2023 compared to $347.5 million used for acquisitions in the six months ended March 31, 2022, primarily related to our November 2021 acquisition of Ventus.</w:t>
      </w:r>
    </w:p>
    <w:p>
      <w:pPr>
        <w:spacing w:after="0" w:line="200" w:lineRule="exact"/>
        <w:rPr>
          <w:sz w:val="20"/>
          <w:szCs w:val="20"/>
          <w:color w:val="auto"/>
        </w:rPr>
      </w:pPr>
    </w:p>
    <w:p>
      <w:pPr>
        <w:spacing w:after="0" w:line="31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$1.3 million increase in purchases of property, equipment, improvements and certain other intangible assets.</w:t>
      </w:r>
    </w:p>
    <w:p>
      <w:pPr>
        <w:spacing w:after="0" w:line="200" w:lineRule="exact"/>
        <w:rPr>
          <w:sz w:val="20"/>
          <w:szCs w:val="20"/>
          <w:color w:val="auto"/>
        </w:rPr>
      </w:pPr>
    </w:p>
    <w:p>
      <w:pPr>
        <w:spacing w:after="0" w:line="390" w:lineRule="exact"/>
        <w:rPr>
          <w:sz w:val="20"/>
          <w:szCs w:val="20"/>
          <w:color w:val="auto"/>
        </w:rPr>
      </w:pPr>
    </w:p>
    <w:p>
      <w:pPr>
        <w:ind w:left="660" w:right="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proceeds from debt in the fiscal half of 2023 compared to $350.0 million in proceeds from the Term Loan issued in the first fiscal half of 2022,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$3.4 million decrease in proceeds from stock issuances.</w:t>
      </w:r>
    </w:p>
    <w:p>
      <w:pPr>
        <w:spacing w:after="0" w:line="200" w:lineRule="exact"/>
        <w:rPr>
          <w:sz w:val="20"/>
          <w:szCs w:val="20"/>
          <w:color w:val="auto"/>
        </w:rPr>
      </w:pPr>
    </w:p>
    <w:p>
      <w:pPr>
        <w:spacing w:after="0" w:line="390" w:lineRule="exact"/>
        <w:rPr>
          <w:sz w:val="20"/>
          <w:szCs w:val="20"/>
          <w:color w:val="auto"/>
        </w:rPr>
      </w:pPr>
    </w:p>
    <w:p>
      <w:pPr>
        <w:ind w:left="660" w:right="5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 payments of $9.4 million in the first fiscal half of 2023 compared to $109.4 million in 2022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to the condensed consolidated financial statements),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$13.4 million in debt issuance cost payments,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$2.8 million decrease in taxes paid for net share settlements.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2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at March 31, 2023:</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80" w:type="dxa"/>
            <w:vAlign w:val="bottom"/>
            <w:gridSpan w:val="6"/>
          </w:tcPr>
          <w:p>
            <w:pPr>
              <w:jc w:val="center"/>
              <w:ind w:left="428"/>
              <w:spacing w:after="0"/>
              <w:rPr>
                <w:sz w:val="20"/>
                <w:szCs w:val="20"/>
                <w:color w:val="auto"/>
              </w:rPr>
            </w:pPr>
            <w:r>
              <w:rPr>
                <w:rFonts w:ascii="Times New Roman" w:cs="Times New Roman" w:eastAsia="Times New Roman" w:hAnsi="Times New Roman"/>
                <w:sz w:val="14"/>
                <w:szCs w:val="14"/>
                <w:color w:val="auto"/>
              </w:rPr>
              <w:t>Payments due by fiscal period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Less than 1 year</w:t>
            </w: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1-3 years</w:t>
            </w:r>
          </w:p>
        </w:tc>
        <w:tc>
          <w:tcPr>
            <w:tcW w:w="24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3-5 years</w:t>
            </w:r>
          </w:p>
        </w:tc>
        <w:tc>
          <w:tcPr>
            <w:tcW w:w="180" w:type="dxa"/>
            <w:vAlign w:val="bottom"/>
          </w:tcPr>
          <w:p>
            <w:pPr>
              <w:spacing w:after="0"/>
              <w:rPr>
                <w:sz w:val="16"/>
                <w:szCs w:val="16"/>
                <w:color w:val="auto"/>
              </w:rPr>
            </w:pP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Thereafter</w:t>
            </w:r>
          </w:p>
        </w:tc>
        <w:tc>
          <w:tcPr>
            <w:tcW w:w="0" w:type="dxa"/>
            <w:vAlign w:val="bottom"/>
          </w:tcPr>
          <w:p>
            <w:pPr>
              <w:spacing w:after="0"/>
              <w:rPr>
                <w:sz w:val="1"/>
                <w:szCs w:val="1"/>
                <w:color w:val="auto"/>
              </w:rPr>
            </w:pPr>
          </w:p>
        </w:tc>
      </w:tr>
      <w:tr>
        <w:trPr>
          <w:trHeight w:val="203"/>
        </w:trPr>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22,256</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9,623</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5,699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w:t>
            </w:r>
          </w:p>
        </w:tc>
        <w:tc>
          <w:tcPr>
            <w:tcW w:w="0" w:type="dxa"/>
            <w:vAlign w:val="bottom"/>
          </w:tcPr>
          <w:p>
            <w:pPr>
              <w:spacing w:after="0"/>
              <w:rPr>
                <w:sz w:val="1"/>
                <w:szCs w:val="1"/>
                <w:color w:val="auto"/>
              </w:rPr>
            </w:pPr>
          </w:p>
        </w:tc>
      </w:tr>
      <w:tr>
        <w:trPr>
          <w:trHeight w:val="19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Term Loan</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240,625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153,125</w:t>
            </w: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on long-term debt</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106,466</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40,894</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33,646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8,514</w:t>
            </w:r>
          </w:p>
        </w:tc>
        <w:tc>
          <w:tcPr>
            <w:tcW w:w="0" w:type="dxa"/>
            <w:vAlign w:val="bottom"/>
          </w:tcPr>
          <w:p>
            <w:pPr>
              <w:spacing w:after="0"/>
              <w:rPr>
                <w:sz w:val="1"/>
                <w:szCs w:val="1"/>
                <w:color w:val="auto"/>
              </w:rPr>
            </w:pPr>
          </w:p>
        </w:tc>
      </w:tr>
      <w:tr>
        <w:trPr>
          <w:trHeight w:val="203"/>
        </w:trPr>
        <w:tc>
          <w:tcPr>
            <w:tcW w:w="52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369,347</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44,922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85,517</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74,345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164,563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operating lease agreements included above primarily relate to office space. The table above does not include possible payments for uncertain tax positions. Our reserve for uncertain tax positions, including accrued interest and penalties, was $2.7 million as of March 31, 2023. Due to the nature of the underlying liabilities and the extended time often needed to resolve income tax uncertainties, we cannot make reliable estimates of the amount or timing of future cash payments that may be required to settle these liabilities. The above table also does not include those obligations for royalties under license agreements as these royalties are calculated based on future sales of licensed products and we cannot make reliable estimates of the amount of cash payments.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information on new accounting pronouncements, see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to our condensed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ongoing market risk related to changes in interest rates and foreign currency exchange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RISK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market risks related to fluctuations in interest rates on amounts borrowed under the Credit Facility. As of March 31, 2023, we had</w:t>
      </w:r>
    </w:p>
    <w:p>
      <w:pPr>
        <w:spacing w:after="0" w:line="2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 xml:space="preserve">$240.6 million outstanding under our Term Loan. Borrowings under the Term Loan Facility bear interest at a rate per annum equal to LIBOR with a floor of 0.50% for an interest period of one, three or six months as selected by Digi, reset at the end of the selected interest period (or a replacement benchmark rate if LIBOR is no longer available) plus 5.00% or a base rate plus 4.00%. The base rate is determined by reference to the highest of BMO’s prime rate, the Federal Funds Effective Rate plus 0.5%, or the one-month LIBOR for U.S. dollars plus 1.00%. The applicable margin for loans under the Revolving Credit Facility is in a range of 4.00 to 3.75% for LIBOR loans and 3.00 to 2.75% for base rate loans, depending on Digi’s consolidated leverage ratio. Digi bases the interest period election on an assessment of the interest rate environment conducted on a monthly basis. Digi presently expects to continue to elect a one month interest period, unless conditions change. Based on the balance sheet position for the Revolving Loan at March 31, 2023, the annualized effect of a 25 basis point change in interest rates would increase or decrease our interest expense by $0.6 million. For additional information,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to our condensed consolidated financial statements. For our Credit Facility, interest rate changes generally do not affect the fair value of the debt instruments, but do impact future earnings and cash flows, assuming other factors are held constant. If interest rates remain elevated, we will continue to see interest expenses that are higher than historical amounts.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RISK</w:t>
      </w:r>
    </w:p>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not exposed to foreign currency transaction risk associated with sales transactions as the majority of our sales are denominated in U.S. Dollars. We are exposed to foreign currency translation risk as the financial position and operating results of our foreign subsidiaries are translated into U.S. Dollars for consolidation. We manage our net asset or net liability position for non-functional currency accounts, primarily the U.S. Dollar accounts in our foreign locations to reduce our foreign currency risk. We have not implemented a formal hedging strategy.</w:t>
      </w:r>
    </w:p>
    <w:p>
      <w:pPr>
        <w:spacing w:after="0" w:line="15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 10% change in the average exchange rate for the Euro, British Pound, Australian Dollar and Canadian Dollar to the U.S. Dollar during the first six months of fiscal 2023 would have resulted in a 1.0% increase or decrease in stockholders' equity due to foreign currency translation.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RISK</w:t>
      </w:r>
    </w:p>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have exposure to credit risk related to our accounts receivable portfolio. Exposure to credit risk is controlled through regular monitoring of customer financial status, credit limits and collaboration with sales management and customer contacts to facilitate payment.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EVALUATION OF DISCLOSURE CONTROLS AND PROCEDURES</w:t>
      </w:r>
    </w:p>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we conducted an evaluation, under the supervision and with the participation of the Chief Executive Officer and Chief Financial Officer, of our disclosure controls and procedures (as defined in Rules 13a-15(e) and 15d-15(e) under the Securities Exchange Act of 1934 (the "Exchange Act")). Based on this evaluation, the Chief Executive Officer and Chief Financial Officer concluded that our disclosure controls and procedures were effective to ensure that information required to be disclosed by us in reports that we file or submit under the Exchange Act was recorded, processed, summarized and reported within the time periods specified in SEC rules and forms and is accumulated and communicated to our management, including the principal executive and principal financial officers, or persons performing similar functions, as appropriate to allow timely decisions regarding required disclosure.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INTERNAL CONTROL OVER FINANCIAL REPORTING</w:t>
      </w:r>
    </w:p>
    <w:p>
      <w:pPr>
        <w:spacing w:after="0" w:line="18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six months ended March 31, 2023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 xml:space="preserve">The disclosure set forth in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to the condensed consolidated financial statements in Part I, Item 1 of this Form 10-Q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in our risk factors from those previously disclosed in Item 1A of Part I of our Annual Report on Form 10-K for the year ended September 30,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parts of our business are subject to customer concentrations.</w:t>
      </w:r>
    </w:p>
    <w:p>
      <w:pPr>
        <w:spacing w:after="0" w:line="18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Several of our acquired businesses historically have depended on relationships with one or a small number of customers or have a significant number of customers that are from particular industries. Any disruption in their business with those customers, whether as a result of changes in demand for the customer’s services, adverse changes in the customer’s industry generally or other challenges in securing or renewing contracts, could have an adverse impact on our business, results of operations, financial condition and prospects.</w:t>
      </w:r>
    </w:p>
    <w:p>
      <w:pPr>
        <w:spacing w:after="0" w:line="15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example, we acquired Accelerated in fiscal 2018. Although Accelerated has many customers, its business historically has been highly dependent on its relationship with a single telecommunications carrier customer.</w:t>
      </w:r>
    </w:p>
    <w:p>
      <w:pPr>
        <w:spacing w:after="0" w:line="12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We acquired Opengear in fiscal 2019. Although Opengear has many customers, its business historically has been significantly concentrated on its relationships with a few large customers.</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acquired Ventus in fiscal 2022. Although Ventus has many customers, its business historically has been significantly concentrated on its relationships with fewer than twenty customers and it also serves a significant number of customers in the financial and gaming terminal industries. Likewise, our SmartSense business services a significant number of customers in the pharmaceutical, medical facility and retail food industries. Both Ventus and SmartSense produce significant ARR. Any disruption or difficulties in any of the industries these businesses serve could have an adverse impact on our business, results of operations (including, but not limited to, ARR), financial condition and prospects.</w:t>
      </w:r>
    </w:p>
    <w:p>
      <w:pPr>
        <w:spacing w:after="0" w:line="15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some larger customers may demand discounts and rebates. As a result, our future revenue opportunities with these customers may be limited, and we may face pricing pressures, which in turn could adversely impact our gross margin and our profitability. The loss of, reduction in, or pricing discounts associated with orders from key customers may significantly reduce our revenue and harm our business. Furthermore, delays in payment and/or extended payment terms from larger customers could have a disproportionate and material negative impact on our cash flows and working capital to support our business operations.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information with respect to purchases made by or on behalf of Digi International Inc. or any "affiliated purchaser" (as defined in Rule 10b-18(a)(3) under the Securities Exchange Act of 1934), of our common stock during the second quarter of fiscal 2023:</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Total Number of Shares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Maximum Dollar Value</w:t>
            </w: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2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Purchased as Part of a</w:t>
            </w:r>
          </w:p>
        </w:tc>
        <w:tc>
          <w:tcPr>
            <w:tcW w:w="1840" w:type="dxa"/>
            <w:vAlign w:val="bottom"/>
            <w:gridSpan w:val="2"/>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of Shares that May Yet</w:t>
            </w: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8"/>
              </w:rPr>
              <w:t>Publicly Announced</w:t>
            </w:r>
          </w:p>
        </w:tc>
        <w:tc>
          <w:tcPr>
            <w:tcW w:w="18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Be Purchased Under the</w:t>
            </w:r>
          </w:p>
        </w:tc>
        <w:tc>
          <w:tcPr>
            <w:tcW w:w="0" w:type="dxa"/>
            <w:vAlign w:val="bottom"/>
          </w:tcPr>
          <w:p>
            <w:pPr>
              <w:spacing w:after="0"/>
              <w:rPr>
                <w:sz w:val="1"/>
                <w:szCs w:val="1"/>
                <w:color w:val="auto"/>
              </w:rPr>
            </w:pPr>
          </w:p>
        </w:tc>
      </w:tr>
      <w:tr>
        <w:trPr>
          <w:trHeight w:val="24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color w:val="auto"/>
                <w:w w:val="93"/>
              </w:rPr>
              <w:t>Purchased</w:t>
            </w:r>
            <w:r>
              <w:rPr>
                <w:rFonts w:ascii="Times New Roman" w:cs="Times New Roman" w:eastAsia="Times New Roman" w:hAnsi="Times New Roman"/>
                <w:sz w:val="23"/>
                <w:szCs w:val="23"/>
                <w:color w:val="auto"/>
                <w:w w:val="93"/>
                <w:vertAlign w:val="superscript"/>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 per Share</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Program</w:t>
            </w:r>
          </w:p>
        </w:tc>
        <w:tc>
          <w:tcPr>
            <w:tcW w:w="360" w:type="dxa"/>
            <w:vAlign w:val="bottom"/>
          </w:tcPr>
          <w:p>
            <w:pPr>
              <w:spacing w:after="0"/>
              <w:rPr>
                <w:sz w:val="21"/>
                <w:szCs w:val="21"/>
                <w:color w:val="auto"/>
              </w:rPr>
            </w:pPr>
          </w:p>
        </w:tc>
        <w:tc>
          <w:tcPr>
            <w:tcW w:w="14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Program</w:t>
            </w:r>
          </w:p>
        </w:tc>
        <w:tc>
          <w:tcPr>
            <w:tcW w:w="0" w:type="dxa"/>
            <w:vAlign w:val="bottom"/>
          </w:tcPr>
          <w:p>
            <w:pPr>
              <w:spacing w:after="0"/>
              <w:rPr>
                <w:sz w:val="1"/>
                <w:szCs w:val="1"/>
                <w:color w:val="auto"/>
              </w:rPr>
            </w:pPr>
          </w:p>
        </w:tc>
      </w:tr>
      <w:tr>
        <w:trPr>
          <w:trHeight w:val="223"/>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2023 - January 31, 2023</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2023 - February 28, 2023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20" w:type="dxa"/>
            <w:vAlign w:val="bottom"/>
          </w:tcPr>
          <w:p>
            <w:pPr>
              <w:spacing w:after="0"/>
              <w:rPr>
                <w:sz w:val="19"/>
                <w:szCs w:val="19"/>
                <w:color w:val="auto"/>
              </w:rPr>
            </w:pP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2023 - March 31,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20" w:type="dxa"/>
            <w:vAlign w:val="bottom"/>
          </w:tcPr>
          <w:p>
            <w:pPr>
              <w:spacing w:after="0"/>
              <w:rPr>
                <w:sz w:val="19"/>
                <w:szCs w:val="19"/>
                <w:color w:val="auto"/>
              </w:rPr>
            </w:pP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360" w:hanging="352"/>
        <w:spacing w:after="0"/>
        <w:tabs>
          <w:tab w:leader="none" w:pos="3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shares reported were forfeited by employees in connection with the satisfaction of tax withholding obligations related to the vesting of restricted stock units.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97"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9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790"/>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17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color w:val="auto"/>
              </w:rPr>
              <w:t>Exhibit No.</w:t>
            </w:r>
          </w:p>
        </w:tc>
        <w:tc>
          <w:tcPr>
            <w:tcW w:w="78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 of Filing</w:t>
            </w:r>
          </w:p>
        </w:tc>
      </w:tr>
      <w:tr>
        <w:trPr>
          <w:trHeight w:val="169"/>
        </w:trPr>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76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(a)</w:t>
            </w:r>
          </w:p>
        </w:tc>
        <w:tc>
          <w:tcPr>
            <w:tcW w:w="7840" w:type="dxa"/>
            <w:vAlign w:val="bottom"/>
            <w:gridSpan w:val="6"/>
          </w:tcPr>
          <w:p>
            <w:pPr>
              <w:spacing w:after="0" w:line="169" w:lineRule="exact"/>
              <w:rPr>
                <w:sz w:val="20"/>
                <w:szCs w:val="20"/>
                <w:color w:val="auto"/>
              </w:rPr>
            </w:pPr>
            <w:r>
              <w:rPr>
                <w:rFonts w:ascii="Times New Roman" w:cs="Times New Roman" w:eastAsia="Times New Roman" w:hAnsi="Times New Roman"/>
                <w:sz w:val="18"/>
                <w:szCs w:val="18"/>
                <w:color w:val="auto"/>
              </w:rPr>
              <w:t>Restated Certificate of Incorporation of the Company, as amended (1)</w:t>
            </w:r>
          </w:p>
        </w:tc>
        <w:tc>
          <w:tcPr>
            <w:tcW w:w="1540" w:type="dxa"/>
            <w:vAlign w:val="bottom"/>
          </w:tcPr>
          <w:p>
            <w:pPr>
              <w:jc w:val="center"/>
              <w:ind w:left="30"/>
              <w:spacing w:after="0" w:line="16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34"/>
        </w:trPr>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Reference</w:t>
            </w:r>
          </w:p>
        </w:tc>
      </w:tr>
      <w:tr>
        <w:trPr>
          <w:trHeight w:val="414"/>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7840" w:type="dxa"/>
            <w:vAlign w:val="bottom"/>
            <w:gridSpan w:val="6"/>
          </w:tcPr>
          <w:p>
            <w:pPr>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 xml:space="preserve">Amended and Restated By-Laws of the Company </w:t>
              </w:r>
            </w:hyperlink>
            <w:r>
              <w:rPr>
                <w:rFonts w:ascii="Times New Roman" w:cs="Times New Roman" w:eastAsia="Times New Roman" w:hAnsi="Times New Roman"/>
                <w:sz w:val="18"/>
                <w:szCs w:val="18"/>
                <w:color w:val="000000"/>
              </w:rPr>
              <w:t>(2)</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Incorporated by</w:t>
            </w:r>
          </w:p>
        </w:tc>
      </w:tr>
      <w:tr>
        <w:trPr>
          <w:trHeight w:val="214"/>
        </w:trPr>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00" w:type="dxa"/>
            <w:vAlign w:val="bottom"/>
            <w:tcBorders>
              <w:top w:val="single" w:sz="8" w:color="0000FF"/>
            </w:tcBorders>
          </w:tcPr>
          <w:p>
            <w:pPr>
              <w:spacing w:after="0"/>
              <w:rPr>
                <w:sz w:val="18"/>
                <w:szCs w:val="18"/>
                <w:color w:val="auto"/>
              </w:rPr>
            </w:pPr>
          </w:p>
        </w:tc>
        <w:tc>
          <w:tcPr>
            <w:tcW w:w="1680" w:type="dxa"/>
            <w:vAlign w:val="bottom"/>
            <w:tcBorders>
              <w:top w:val="single" w:sz="8" w:color="0000FF"/>
            </w:tcBorders>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Reference</w:t>
            </w:r>
          </w:p>
        </w:tc>
      </w:tr>
      <w:tr>
        <w:trPr>
          <w:trHeight w:val="238"/>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7840" w:type="dxa"/>
            <w:vAlign w:val="bottom"/>
            <w:gridSpan w:val="6"/>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 xml:space="preserve">Digi International Inc. 2021 Omnibus Incentive Plan, as amended and restated </w:t>
              </w:r>
            </w:hyperlink>
            <w:r>
              <w:rPr>
                <w:rFonts w:ascii="Times New Roman" w:cs="Times New Roman" w:eastAsia="Times New Roman" w:hAnsi="Times New Roman"/>
                <w:sz w:val="18"/>
                <w:szCs w:val="18"/>
                <w:color w:val="000000"/>
              </w:rPr>
              <w:t>(3)</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Incorporated by</w:t>
            </w:r>
          </w:p>
        </w:tc>
      </w:tr>
      <w:tr>
        <w:trPr>
          <w:trHeight w:val="214"/>
        </w:trPr>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00" w:type="dxa"/>
            <w:vAlign w:val="bottom"/>
            <w:tcBorders>
              <w:top w:val="single" w:sz="8" w:color="0000FF"/>
            </w:tcBorders>
          </w:tcPr>
          <w:p>
            <w:pPr>
              <w:spacing w:after="0"/>
              <w:rPr>
                <w:sz w:val="18"/>
                <w:szCs w:val="18"/>
                <w:color w:val="auto"/>
              </w:rPr>
            </w:pPr>
          </w:p>
        </w:tc>
        <w:tc>
          <w:tcPr>
            <w:tcW w:w="1680" w:type="dxa"/>
            <w:vAlign w:val="bottom"/>
            <w:tcBorders>
              <w:top w:val="single" w:sz="8" w:color="0000FF"/>
            </w:tcBorders>
          </w:tcPr>
          <w:p>
            <w:pPr>
              <w:spacing w:after="0"/>
              <w:rPr>
                <w:sz w:val="18"/>
                <w:szCs w:val="18"/>
                <w:color w:val="auto"/>
              </w:rPr>
            </w:pPr>
          </w:p>
        </w:tc>
        <w:tc>
          <w:tcPr>
            <w:tcW w:w="1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2220" w:type="dxa"/>
            <w:vAlign w:val="bottom"/>
          </w:tcPr>
          <w:p>
            <w:pPr>
              <w:spacing w:after="0"/>
              <w:rPr>
                <w:sz w:val="18"/>
                <w:szCs w:val="18"/>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Reference</w:t>
            </w:r>
          </w:p>
        </w:tc>
      </w:tr>
      <w:tr>
        <w:trPr>
          <w:trHeight w:val="414"/>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4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Chief Executive Officer</w:t>
            </w:r>
          </w:p>
        </w:tc>
        <w:tc>
          <w:tcPr>
            <w:tcW w:w="3080" w:type="dxa"/>
            <w:vAlign w:val="bottom"/>
            <w:gridSpan w:val="2"/>
          </w:tcPr>
          <w:p>
            <w:pPr>
              <w:spacing w:after="0"/>
              <w:rPr>
                <w:sz w:val="24"/>
                <w:szCs w:val="24"/>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Filed Electronically</w:t>
            </w:r>
          </w:p>
        </w:tc>
      </w:tr>
      <w:tr>
        <w:trPr>
          <w:trHeight w:val="439"/>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78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 Financial Officer</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Filed Electronically</w:t>
            </w:r>
          </w:p>
        </w:tc>
      </w:tr>
      <w:tr>
        <w:trPr>
          <w:trHeight w:val="439"/>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Section 1350 Certification</w:t>
            </w:r>
          </w:p>
        </w:tc>
        <w:tc>
          <w:tcPr>
            <w:tcW w:w="2800" w:type="dxa"/>
            <w:vAlign w:val="bottom"/>
            <w:tcBorders>
              <w:top w:val="single" w:sz="8" w:color="0000FF"/>
            </w:tcBorders>
            <w:gridSpan w:val="2"/>
          </w:tcPr>
          <w:p>
            <w:pPr>
              <w:spacing w:after="0"/>
              <w:rPr>
                <w:sz w:val="24"/>
                <w:szCs w:val="24"/>
                <w:color w:val="auto"/>
              </w:rPr>
            </w:pPr>
          </w:p>
        </w:tc>
        <w:tc>
          <w:tcPr>
            <w:tcW w:w="3140" w:type="dxa"/>
            <w:vAlign w:val="bottom"/>
            <w:gridSpan w:val="3"/>
          </w:tcPr>
          <w:p>
            <w:pPr>
              <w:spacing w:after="0"/>
              <w:rPr>
                <w:sz w:val="24"/>
                <w:szCs w:val="24"/>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Filed Electronically</w:t>
            </w:r>
          </w:p>
        </w:tc>
      </w:tr>
      <w:tr>
        <w:trPr>
          <w:trHeight w:val="425"/>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materials from Digi International Inc.'s Quarterly Report on Form 10-Q for the fiscal period</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Filed Electronically</w:t>
            </w:r>
          </w:p>
        </w:tc>
      </w:tr>
      <w:tr>
        <w:trPr>
          <w:trHeight w:val="204"/>
        </w:trPr>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4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auto"/>
              </w:rPr>
              <w:t>ended March 31, 2023, as filed with the Security and Exchange Commission, formatted in iXBRL (Inline</w:t>
            </w:r>
          </w:p>
        </w:tc>
        <w:tc>
          <w:tcPr>
            <w:tcW w:w="1540" w:type="dxa"/>
            <w:vAlign w:val="bottom"/>
          </w:tcPr>
          <w:p>
            <w:pPr>
              <w:spacing w:after="0"/>
              <w:rPr>
                <w:sz w:val="17"/>
                <w:szCs w:val="17"/>
                <w:color w:val="auto"/>
              </w:rPr>
            </w:pPr>
          </w:p>
        </w:tc>
      </w:tr>
    </w:tbl>
    <w:p>
      <w:pPr>
        <w:ind w:left="1720" w:right="1640"/>
        <w:spacing w:after="0" w:line="220" w:lineRule="auto"/>
        <w:rPr>
          <w:sz w:val="20"/>
          <w:szCs w:val="20"/>
          <w:color w:val="auto"/>
        </w:rPr>
      </w:pPr>
      <w:r>
        <w:rPr>
          <w:rFonts w:ascii="Times New Roman" w:cs="Times New Roman" w:eastAsia="Times New Roman" w:hAnsi="Times New Roman"/>
          <w:sz w:val="17"/>
          <w:szCs w:val="17"/>
          <w:color w:val="auto"/>
        </w:rPr>
        <w:t>eXtensible Business Reporting Language): (i) Condensed Consolidated Statements of Operations; (ii) Condensed Consolidated Statements of Comprehensive Income; (iii) Condensed Consolidated Balance Sheets; (iv) Condensed Consolidated Statements of Cash Flows; (v) Condensed Consolidated Statements of</w:t>
      </w:r>
    </w:p>
    <w:p>
      <w:pPr>
        <w:spacing w:after="0" w:line="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Stockholders' Equity; and (vi) the Notes to the Condensed Consolidated Financial Statements.</w:t>
      </w:r>
    </w:p>
    <w:p>
      <w:pPr>
        <w:spacing w:after="0" w:line="232" w:lineRule="exact"/>
        <w:rPr>
          <w:sz w:val="20"/>
          <w:szCs w:val="20"/>
          <w:color w:val="auto"/>
        </w:rPr>
      </w:pPr>
    </w:p>
    <w:p>
      <w:pPr>
        <w:ind w:left="1720" w:right="2280" w:hanging="1095"/>
        <w:spacing w:after="0" w:line="237" w:lineRule="auto"/>
        <w:tabs>
          <w:tab w:leader="none" w:pos="1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Digi International Inc.'s Quarterly Report on Form 10-Q for the period ended March 31, 2023 is formatted in iXBRL (included in Exhibit 101).</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ind w:right="380" w:firstLine="8"/>
        <w:spacing w:after="0" w:line="262" w:lineRule="auto"/>
        <w:tabs>
          <w:tab w:leader="none" w:pos="12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have been omitted pursuant to Item 601(a)(5) of Regulation S-K. Digi agrees to furnish to the Commission a copy of any omitted schedule upon request. ** Management contract or compensatory plan or arrangement required to be filed as an exhibit to this Form 10-Q.</w:t>
      </w:r>
    </w:p>
    <w:p>
      <w:pPr>
        <w:spacing w:after="0" w:line="20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3(a) to the Company's Annual Report on Form 10-K for the year ended September 30, 1993.</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the Company's Current Report on Form 8-K filed on April 30, 2020.</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the Company's Current Report on Form 8-K filed on February 1, 2023.</w:t>
      </w:r>
    </w:p>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DIGI INTERNATIONAL INC.</w:t>
      </w:r>
    </w:p>
    <w:p>
      <w:pPr>
        <w:spacing w:after="0" w:line="212" w:lineRule="exact"/>
        <w:rPr>
          <w:sz w:val="20"/>
          <w:szCs w:val="20"/>
          <w:color w:val="auto"/>
        </w:rPr>
      </w:pPr>
    </w:p>
    <w:p>
      <w:pPr>
        <w:ind w:left="20"/>
        <w:spacing w:after="0"/>
        <w:tabs>
          <w:tab w:leader="none" w:pos="700" w:val="left"/>
          <w:tab w:leader="none" w:pos="4720" w:val="left"/>
          <w:tab w:leader="none" w:pos="54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5,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J. 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17145</wp:posOffset>
            </wp:positionV>
            <wp:extent cx="31457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James J. Loch</w:t>
      </w:r>
    </w:p>
    <w:p>
      <w:pPr>
        <w:spacing w:after="0" w:line="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ind w:left="5460"/>
        <w:spacing w:after="0"/>
        <w:rPr>
          <w:sz w:val="20"/>
          <w:szCs w:val="20"/>
          <w:color w:val="auto"/>
        </w:rPr>
      </w:pPr>
      <w:r>
        <w:rPr>
          <w:rFonts w:ascii="Times New Roman" w:cs="Times New Roman" w:eastAsia="Times New Roman" w:hAnsi="Times New Roman"/>
          <w:sz w:val="18"/>
          <w:szCs w:val="18"/>
          <w:color w:val="auto"/>
        </w:rPr>
        <w:t>(Principal Financial Officer and Authorized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400"/>
          </w:cols>
          <w:pgMar w:left="320" w:top="121" w:right="117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No. 31(a)</w:t>
      </w: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E. Konezny, certify that:</w:t>
      </w:r>
    </w:p>
    <w:p>
      <w:pPr>
        <w:spacing w:after="0" w:line="252"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Digi International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80" w:firstLine="8"/>
        <w:spacing w:after="0" w:line="266" w:lineRule="auto"/>
        <w:tabs>
          <w:tab w:leader="none" w:pos="2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60" w:firstLine="8"/>
        <w:spacing w:after="0" w:line="282" w:lineRule="auto"/>
        <w:tabs>
          <w:tab w:leader="none" w:pos="2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200" w:firstLine="8"/>
        <w:spacing w:after="0" w:line="266"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42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60" w:firstLine="8"/>
        <w:spacing w:after="0" w:line="282" w:lineRule="auto"/>
        <w:tabs>
          <w:tab w:leader="none" w:pos="2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20" w:firstLine="8"/>
        <w:spacing w:after="0" w:line="282" w:lineRule="auto"/>
        <w:tabs>
          <w:tab w:leader="none" w:pos="2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May 5, 2023</w:t>
            </w:r>
          </w:p>
        </w:tc>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Ronald E. Konezny</w:t>
            </w:r>
          </w:p>
        </w:tc>
      </w:tr>
      <w:tr>
        <w:trPr>
          <w:trHeight w:val="218"/>
        </w:trPr>
        <w:tc>
          <w:tcPr>
            <w:tcW w:w="502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Ronald E. Konezny</w:t>
            </w:r>
          </w:p>
        </w:tc>
      </w:tr>
      <w:tr>
        <w:trPr>
          <w:trHeight w:val="234"/>
        </w:trPr>
        <w:tc>
          <w:tcPr>
            <w:tcW w:w="50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No. 31(b)</w:t>
      </w: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J. Loch, certify that:</w:t>
      </w:r>
    </w:p>
    <w:p>
      <w:pPr>
        <w:spacing w:after="0" w:line="252" w:lineRule="exact"/>
        <w:rPr>
          <w:sz w:val="20"/>
          <w:szCs w:val="20"/>
          <w:color w:val="auto"/>
        </w:rPr>
      </w:pPr>
    </w:p>
    <w:p>
      <w:pPr>
        <w:ind w:left="180" w:hanging="172"/>
        <w:spacing w:after="0"/>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Digi International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80" w:firstLine="8"/>
        <w:spacing w:after="0" w:line="266" w:lineRule="auto"/>
        <w:tabs>
          <w:tab w:leader="none" w:pos="24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60" w:firstLine="8"/>
        <w:spacing w:after="0" w:line="282" w:lineRule="auto"/>
        <w:tabs>
          <w:tab w:leader="none" w:pos="24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200" w:firstLine="8"/>
        <w:spacing w:after="0" w:line="266"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420" w:firstLine="8"/>
        <w:spacing w:after="0" w:line="282"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60" w:firstLine="8"/>
        <w:spacing w:after="0" w:line="282" w:lineRule="auto"/>
        <w:tabs>
          <w:tab w:leader="none" w:pos="2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20" w:firstLine="8"/>
        <w:spacing w:after="0" w:line="282" w:lineRule="auto"/>
        <w:tabs>
          <w:tab w:leader="none" w:pos="2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May 5, 2023</w:t>
            </w:r>
          </w:p>
        </w:tc>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J. Loch</w:t>
            </w:r>
          </w:p>
        </w:tc>
      </w:tr>
      <w:tr>
        <w:trPr>
          <w:trHeight w:val="218"/>
        </w:trPr>
        <w:tc>
          <w:tcPr>
            <w:tcW w:w="502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J. Loch</w:t>
            </w:r>
          </w:p>
        </w:tc>
      </w:tr>
      <w:tr>
        <w:trPr>
          <w:trHeight w:val="234"/>
        </w:trPr>
        <w:tc>
          <w:tcPr>
            <w:tcW w:w="50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r>
    </w:tbl>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No.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Digi International Inc. (the Registrant) on Form 10-Q for the fiscal quarter ended March 31, 2023 as filed with the Securities and Exchange Commission on the date hereof, each of the undersigned certifies, pursuant to 18 U.S.C. §1350, as adopted pursuant to §906 of the Sarbanes-Oxley Act of 2002, that:</w:t>
      </w:r>
    </w:p>
    <w:p>
      <w:pPr>
        <w:spacing w:after="0" w:line="203" w:lineRule="exact"/>
        <w:rPr>
          <w:sz w:val="20"/>
          <w:szCs w:val="20"/>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right="760" w:firstLine="8"/>
        <w:spacing w:after="0" w:line="282" w:lineRule="auto"/>
        <w:tabs>
          <w:tab w:leader="none" w:pos="2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on Form 10-Q fairly presents, in all material respects, the financial condition and results of operations of the Registrant.</w:t>
      </w: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5, 2023</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Ronald E. Konezny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36518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1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Ronald E. Konezny</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4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James J. 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17145</wp:posOffset>
            </wp:positionV>
            <wp:extent cx="36518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James J. Loch</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6"/>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04"/>
    </w:lvl>
  </w:abstractNum>
  <w:abstractNum w:abstractNumId="20">
    <w:nsid w:val="4353D0CD"/>
    <w:multiLevelType w:val="hybridMultilevel"/>
    <w:lvl w:ilvl="0">
      <w:lvlJc w:val="left"/>
      <w:lvlText w:val="*"/>
      <w:numFmt w:val="bullet"/>
      <w:start w:val="1"/>
    </w:lvl>
    <w:lvl w:ilvl="1">
      <w:lvlJc w:val="left"/>
      <w:lvlText w:val="(%2)"/>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decimal"/>
      <w:start w:val="5"/>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decimal"/>
      <w:start w:val="5"/>
    </w:lvl>
  </w:abstractNum>
  <w:abstractNum w:abstractNumId="28">
    <w:nsid w:val="3A95F874"/>
    <w:multiLevelType w:val="hybridMultilevel"/>
    <w:lvl w:ilvl="0">
      <w:lvlJc w:val="left"/>
      <w:lvlText w:val="(%1)"/>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18" Type="http://schemas.openxmlformats.org/officeDocument/2006/relationships/hyperlink" Target="https://www.sec.gov/ix?doc=/Archives/edgar/data/854775/000085477522000028/dgii-20220930.htm" TargetMode="External"/><Relationship Id="rId46" Type="http://schemas.openxmlformats.org/officeDocument/2006/relationships/hyperlink" Target="http://www.sec.gov/Archives/edgar/data/854775/000110465920054438/tm2018116d1_ex3-1.htm" TargetMode="External"/><Relationship Id="rId47" Type="http://schemas.openxmlformats.org/officeDocument/2006/relationships/hyperlink" Target="http://www.sec.gov/Archives/edgar/data/854775/000110465923009300/tm235170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2023-05-05T12:36:30Z</dcterms:created>
  <dcterms:modified xsi:type="dcterms:W3CDTF">2023-05-05T12:36:30Z</dcterms:modified>
</cp:coreProperties>
</file>