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81" w:lineRule="exact"/>
        <w:rPr>
          <w:sz w:val="24"/>
          <w:szCs w:val="24"/>
          <w:color w:val="auto"/>
        </w:rPr>
      </w:pPr>
    </w:p>
    <w:p>
      <w:pPr>
        <w:ind w:left="440" w:hanging="36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 (d)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440" w:hanging="36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 (d) OF THE SECURITIES EXCHANGE ACT OF 1934</w:t>
      </w:r>
    </w:p>
    <w:p>
      <w:pPr>
        <w:spacing w:after="0" w:line="114"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71"/>
        </w:trPr>
        <w:tc>
          <w:tcPr>
            <w:tcW w:w="3620" w:type="dxa"/>
            <w:vAlign w:val="bottom"/>
            <w:gridSpan w:val="4"/>
          </w:tcPr>
          <w:p>
            <w:pPr>
              <w:ind w:left="760"/>
              <w:spacing w:after="0"/>
              <w:rPr>
                <w:sz w:val="20"/>
                <w:szCs w:val="20"/>
                <w:color w:val="auto"/>
              </w:rPr>
            </w:pPr>
            <w:r>
              <w:rPr>
                <w:rFonts w:ascii="Arial" w:cs="Arial" w:eastAsia="Arial" w:hAnsi="Arial"/>
                <w:sz w:val="16"/>
                <w:szCs w:val="16"/>
                <w:b w:val="1"/>
                <w:bCs w:val="1"/>
                <w:color w:val="auto"/>
              </w:rPr>
              <w:t>Commission file number: 001-34033</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3065780</wp:posOffset>
            </wp:positionH>
            <wp:positionV relativeFrom="paragraph">
              <wp:posOffset>63500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DIGI INTERNATIONAL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76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w w:val="91"/>
              </w:rPr>
              <w:t>41-1532464</w:t>
            </w:r>
          </w:p>
        </w:tc>
      </w:tr>
      <w:tr>
        <w:trPr>
          <w:trHeight w:val="206"/>
        </w:trPr>
        <w:tc>
          <w:tcPr>
            <w:tcW w:w="5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338"/>
        </w:trPr>
        <w:tc>
          <w:tcPr>
            <w:tcW w:w="5480" w:type="dxa"/>
            <w:vAlign w:val="bottom"/>
          </w:tcPr>
          <w:p>
            <w:pPr>
              <w:ind w:left="1340"/>
              <w:spacing w:after="0"/>
              <w:rPr>
                <w:sz w:val="20"/>
                <w:szCs w:val="20"/>
                <w:color w:val="auto"/>
              </w:rPr>
            </w:pPr>
            <w:r>
              <w:rPr>
                <w:rFonts w:ascii="Arial" w:cs="Arial" w:eastAsia="Arial" w:hAnsi="Arial"/>
                <w:sz w:val="16"/>
                <w:szCs w:val="16"/>
                <w:b w:val="1"/>
                <w:bCs w:val="1"/>
                <w:color w:val="auto"/>
              </w:rPr>
              <w:t>9350 Excelsior Blvd. Suite 700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19"/>
        </w:trPr>
        <w:tc>
          <w:tcPr>
            <w:tcW w:w="5480" w:type="dxa"/>
            <w:vAlign w:val="bottom"/>
          </w:tcPr>
          <w:p>
            <w:pPr>
              <w:ind w:left="2160"/>
              <w:spacing w:after="0"/>
              <w:rPr>
                <w:sz w:val="20"/>
                <w:szCs w:val="20"/>
                <w:color w:val="auto"/>
              </w:rPr>
            </w:pPr>
            <w:r>
              <w:rPr>
                <w:rFonts w:ascii="Arial" w:cs="Arial" w:eastAsia="Arial" w:hAnsi="Arial"/>
                <w:sz w:val="16"/>
                <w:szCs w:val="16"/>
                <w:b w:val="1"/>
                <w:bCs w:val="1"/>
                <w:color w:val="auto"/>
              </w:rPr>
              <w:t>Hopkins Minnesota</w:t>
            </w:r>
          </w:p>
        </w:tc>
        <w:tc>
          <w:tcPr>
            <w:tcW w:w="576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w w:val="89"/>
              </w:rPr>
              <w:t>55343</w:t>
            </w:r>
          </w:p>
        </w:tc>
      </w:tr>
      <w:tr>
        <w:trPr>
          <w:trHeight w:val="206"/>
        </w:trPr>
        <w:tc>
          <w:tcPr>
            <w:tcW w:w="5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912-3444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780" w:type="dxa"/>
            <w:vAlign w:val="bottom"/>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327"/>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120" w:type="dxa"/>
            <w:vAlign w:val="bottom"/>
          </w:tcPr>
          <w:p>
            <w:pPr>
              <w:spacing w:after="0"/>
              <w:rPr>
                <w:sz w:val="24"/>
                <w:szCs w:val="24"/>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3780" w:type="dxa"/>
            <w:vAlign w:val="bottom"/>
          </w:tcPr>
          <w:p>
            <w:pPr>
              <w:jc w:val="center"/>
              <w:spacing w:after="0"/>
              <w:rPr>
                <w:sz w:val="20"/>
                <w:szCs w:val="20"/>
                <w:color w:val="auto"/>
              </w:rPr>
            </w:pPr>
            <w:r>
              <w:rPr>
                <w:rFonts w:ascii="Arial" w:cs="Arial" w:eastAsia="Arial" w:hAnsi="Arial"/>
                <w:sz w:val="16"/>
                <w:szCs w:val="16"/>
                <w:color w:val="auto"/>
                <w:w w:val="90"/>
              </w:rPr>
              <w:t>Common Stock, par value $.01 per share</w:t>
            </w:r>
          </w:p>
        </w:tc>
        <w:tc>
          <w:tcPr>
            <w:tcW w:w="14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rPr>
              <w:t>DGII</w:t>
            </w:r>
          </w:p>
        </w:tc>
        <w:tc>
          <w:tcPr>
            <w:tcW w:w="120" w:type="dxa"/>
            <w:vAlign w:val="bottom"/>
          </w:tcPr>
          <w:p>
            <w:pPr>
              <w:spacing w:after="0"/>
              <w:rPr>
                <w:sz w:val="17"/>
                <w:szCs w:val="17"/>
                <w:color w:val="auto"/>
              </w:rPr>
            </w:pPr>
          </w:p>
        </w:tc>
        <w:tc>
          <w:tcPr>
            <w:tcW w:w="40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04" w:lineRule="exact"/>
        <w:rPr>
          <w:sz w:val="24"/>
          <w:szCs w:val="24"/>
          <w:color w:val="auto"/>
        </w:rPr>
      </w:pPr>
    </w:p>
    <w:p>
      <w:pPr>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5" w:lineRule="exact"/>
        <w:rPr>
          <w:sz w:val="24"/>
          <w:szCs w:val="24"/>
          <w:color w:val="auto"/>
        </w:rPr>
      </w:pPr>
    </w:p>
    <w:p>
      <w:pPr>
        <w:jc w:val="both"/>
        <w:ind w:right="20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206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2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206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46"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ind w:right="300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On July 26, 2023, there were 35,969,438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gridSpan w:val="2"/>
          </w:tcPr>
          <w:p>
            <w:pPr>
              <w:ind w:left="280"/>
              <w:spacing w:after="0"/>
              <w:rPr>
                <w:sz w:val="20"/>
                <w:szCs w:val="20"/>
                <w:color w:val="auto"/>
              </w:rPr>
            </w:pPr>
            <w:r>
              <w:rPr>
                <w:rFonts w:ascii="Arial" w:cs="Arial" w:eastAsia="Arial" w:hAnsi="Arial"/>
                <w:sz w:val="18"/>
                <w:szCs w:val="18"/>
                <w:color w:val="auto"/>
              </w:rPr>
              <w:t>INDEX</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Page</w:t>
            </w:r>
          </w:p>
        </w:tc>
      </w:tr>
      <w:tr>
        <w:trPr>
          <w:trHeight w:val="183"/>
        </w:trPr>
        <w:tc>
          <w:tcPr>
            <w:tcW w:w="288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7"/>
              </w:rPr>
              <w:t>PART I. FINANCIAL INFORMATION</w:t>
            </w:r>
          </w:p>
        </w:tc>
        <w:tc>
          <w:tcPr>
            <w:tcW w:w="6980" w:type="dxa"/>
            <w:vAlign w:val="bottom"/>
            <w:gridSpan w:val="12"/>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52"/>
        </w:trPr>
        <w:tc>
          <w:tcPr>
            <w:tcW w:w="30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ITEM 1. Unaudited Financial Statements:</w:t>
            </w:r>
          </w:p>
        </w:tc>
        <w:tc>
          <w:tcPr>
            <w:tcW w:w="6840" w:type="dxa"/>
            <w:vAlign w:val="bottom"/>
            <w:gridSpan w:val="10"/>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2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w:t>
            </w:r>
          </w:p>
        </w:tc>
        <w:tc>
          <w:tcPr>
            <w:tcW w:w="132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132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Arial" w:cs="Arial" w:eastAsia="Arial" w:hAnsi="Arial"/>
                <w:sz w:val="18"/>
                <w:szCs w:val="18"/>
                <w:color w:val="0000FF"/>
              </w:rPr>
              <w:t>Condensed Consolidated Balance Sheets</w:t>
            </w:r>
          </w:p>
        </w:tc>
        <w:tc>
          <w:tcPr>
            <w:tcW w:w="5160" w:type="dxa"/>
            <w:vAlign w:val="bottom"/>
            <w:gridSpan w:val="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32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132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4380" w:type="dxa"/>
            <w:vAlign w:val="bottom"/>
            <w:gridSpan w:val="14"/>
          </w:tcPr>
          <w:p>
            <w:pPr>
              <w:spacing w:after="0"/>
              <w:rPr>
                <w:sz w:val="20"/>
                <w:szCs w:val="20"/>
                <w:color w:val="auto"/>
              </w:rPr>
            </w:pPr>
            <w:r>
              <w:rPr>
                <w:rFonts w:ascii="Arial" w:cs="Arial" w:eastAsia="Arial" w:hAnsi="Arial"/>
                <w:sz w:val="18"/>
                <w:szCs w:val="18"/>
                <w:color w:val="0000FF"/>
                <w:w w:val="97"/>
              </w:rPr>
              <w:t>Notes to Condensed Consolidated Financial Statements</w:t>
            </w:r>
          </w:p>
        </w:tc>
        <w:tc>
          <w:tcPr>
            <w:tcW w:w="5360" w:type="dxa"/>
            <w:vAlign w:val="bottom"/>
            <w:gridSpan w:val="5"/>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7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18</w:t>
            </w:r>
          </w:p>
        </w:tc>
        <w:tc>
          <w:tcPr>
            <w:tcW w:w="20" w:type="dxa"/>
            <w:vAlign w:val="bottom"/>
          </w:tcPr>
          <w:p>
            <w:pPr>
              <w:spacing w:after="0"/>
              <w:rPr>
                <w:sz w:val="24"/>
                <w:szCs w:val="24"/>
                <w:color w:val="auto"/>
              </w:rPr>
            </w:pPr>
          </w:p>
        </w:tc>
      </w:tr>
      <w:tr>
        <w:trPr>
          <w:trHeight w:val="453"/>
        </w:trPr>
        <w:tc>
          <w:tcPr>
            <w:tcW w:w="50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3"/>
              </w:rPr>
              <w:t>ITEM 3. Quantitative and Qualitative Disclosures About Market Risk</w:t>
            </w:r>
          </w:p>
        </w:tc>
        <w:tc>
          <w:tcPr>
            <w:tcW w:w="482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c>
          <w:tcPr>
            <w:tcW w:w="20" w:type="dxa"/>
            <w:vAlign w:val="bottom"/>
          </w:tcPr>
          <w:p>
            <w:pPr>
              <w:spacing w:after="0"/>
              <w:rPr>
                <w:sz w:val="24"/>
                <w:szCs w:val="24"/>
                <w:color w:val="auto"/>
              </w:rPr>
            </w:pPr>
          </w:p>
        </w:tc>
      </w:tr>
      <w:tr>
        <w:trPr>
          <w:trHeight w:val="439"/>
        </w:trPr>
        <w:tc>
          <w:tcPr>
            <w:tcW w:w="24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ITEM 4. Controls and Procedures</w:t>
            </w:r>
          </w:p>
        </w:tc>
        <w:tc>
          <w:tcPr>
            <w:tcW w:w="7420" w:type="dxa"/>
            <w:vAlign w:val="bottom"/>
            <w:gridSpan w:val="14"/>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27</w:t>
            </w:r>
          </w:p>
        </w:tc>
        <w:tc>
          <w:tcPr>
            <w:tcW w:w="20" w:type="dxa"/>
            <w:vAlign w:val="bottom"/>
          </w:tcPr>
          <w:p>
            <w:pPr>
              <w:spacing w:after="0"/>
              <w:rPr>
                <w:sz w:val="24"/>
                <w:szCs w:val="24"/>
                <w:color w:val="auto"/>
              </w:rPr>
            </w:pPr>
          </w:p>
        </w:tc>
      </w:tr>
      <w:tr>
        <w:trPr>
          <w:trHeight w:val="453"/>
        </w:trPr>
        <w:tc>
          <w:tcPr>
            <w:tcW w:w="25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PART II. OTHER INFORMATION</w:t>
            </w:r>
          </w:p>
        </w:tc>
        <w:tc>
          <w:tcPr>
            <w:tcW w:w="728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9860" w:type="dxa"/>
            <w:vAlign w:val="bottom"/>
            <w:gridSpan w:val="20"/>
          </w:tcPr>
          <w:p>
            <w:pPr>
              <w:spacing w:after="0"/>
              <w:rPr>
                <w:sz w:val="20"/>
                <w:szCs w:val="20"/>
                <w:color w:val="auto"/>
              </w:rPr>
            </w:pPr>
            <w:r>
              <w:rPr>
                <w:rFonts w:ascii="Arial" w:cs="Arial" w:eastAsia="Arial" w:hAnsi="Arial"/>
                <w:sz w:val="18"/>
                <w:szCs w:val="18"/>
                <w:color w:val="0000FF"/>
              </w:rPr>
              <w:t>ITEM 1. Legal Proceedings</w:t>
            </w:r>
          </w:p>
        </w:tc>
        <w:tc>
          <w:tcPr>
            <w:tcW w:w="132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24"/>
                <w:szCs w:val="24"/>
                <w:color w:val="auto"/>
              </w:rPr>
            </w:pPr>
          </w:p>
        </w:tc>
      </w:tr>
      <w:tr>
        <w:trPr>
          <w:trHeight w:val="439"/>
        </w:trPr>
        <w:tc>
          <w:tcPr>
            <w:tcW w:w="20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ITEM 1A. Risk Factors</w:t>
            </w:r>
          </w:p>
        </w:tc>
        <w:tc>
          <w:tcPr>
            <w:tcW w:w="7860" w:type="dxa"/>
            <w:vAlign w:val="bottom"/>
            <w:gridSpan w:val="15"/>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50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ITEM 2. Unregistered Sales of Equity Securities and Use of Proceeds</w:t>
            </w:r>
          </w:p>
        </w:tc>
        <w:tc>
          <w:tcPr>
            <w:tcW w:w="484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24"/>
                <w:szCs w:val="24"/>
                <w:color w:val="auto"/>
              </w:rPr>
            </w:pPr>
          </w:p>
        </w:tc>
      </w:tr>
      <w:tr>
        <w:trPr>
          <w:trHeight w:val="453"/>
        </w:trPr>
        <w:tc>
          <w:tcPr>
            <w:tcW w:w="3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ITEM 3. Defaults Upon Senior Securities</w:t>
            </w:r>
          </w:p>
        </w:tc>
        <w:tc>
          <w:tcPr>
            <w:tcW w:w="6860" w:type="dxa"/>
            <w:vAlign w:val="bottom"/>
            <w:gridSpan w:val="11"/>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24"/>
                <w:szCs w:val="24"/>
                <w:color w:val="auto"/>
              </w:rPr>
            </w:pPr>
          </w:p>
        </w:tc>
      </w:tr>
      <w:tr>
        <w:trPr>
          <w:trHeight w:val="439"/>
        </w:trPr>
        <w:tc>
          <w:tcPr>
            <w:tcW w:w="24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ITEM 4. Mine Safety Disclosures</w:t>
            </w:r>
          </w:p>
        </w:tc>
        <w:tc>
          <w:tcPr>
            <w:tcW w:w="7420" w:type="dxa"/>
            <w:vAlign w:val="bottom"/>
            <w:gridSpan w:val="14"/>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c>
          <w:tcPr>
            <w:tcW w:w="20" w:type="dxa"/>
            <w:vAlign w:val="bottom"/>
          </w:tcPr>
          <w:p>
            <w:pPr>
              <w:spacing w:after="0"/>
              <w:rPr>
                <w:sz w:val="24"/>
                <w:szCs w:val="24"/>
                <w:color w:val="auto"/>
              </w:rPr>
            </w:pPr>
          </w:p>
        </w:tc>
      </w:tr>
      <w:tr>
        <w:trPr>
          <w:trHeight w:val="453"/>
        </w:trPr>
        <w:tc>
          <w:tcPr>
            <w:tcW w:w="9860" w:type="dxa"/>
            <w:vAlign w:val="bottom"/>
            <w:gridSpan w:val="20"/>
          </w:tcPr>
          <w:p>
            <w:pPr>
              <w:spacing w:after="0"/>
              <w:rPr>
                <w:sz w:val="20"/>
                <w:szCs w:val="20"/>
                <w:color w:val="auto"/>
              </w:rPr>
            </w:pPr>
            <w:r>
              <w:rPr>
                <w:rFonts w:ascii="Arial" w:cs="Arial" w:eastAsia="Arial" w:hAnsi="Arial"/>
                <w:sz w:val="18"/>
                <w:szCs w:val="18"/>
                <w:color w:val="0000FF"/>
              </w:rPr>
              <w:t>ITEM 5. Other Information</w:t>
            </w:r>
          </w:p>
        </w:tc>
        <w:tc>
          <w:tcPr>
            <w:tcW w:w="1320" w:type="dxa"/>
            <w:vAlign w:val="bottom"/>
            <w:gridSpan w:val="3"/>
          </w:tcPr>
          <w:p>
            <w:pPr>
              <w:jc w:val="right"/>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24"/>
                <w:szCs w:val="24"/>
                <w:color w:val="auto"/>
              </w:rPr>
            </w:pPr>
          </w:p>
        </w:tc>
      </w:tr>
      <w:tr>
        <w:trPr>
          <w:trHeight w:val="439"/>
        </w:trPr>
        <w:tc>
          <w:tcPr>
            <w:tcW w:w="12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6"/>
              </w:rPr>
              <w:t>ITEM 6. Exhibits</w:t>
            </w:r>
          </w:p>
        </w:tc>
        <w:tc>
          <w:tcPr>
            <w:tcW w:w="700" w:type="dxa"/>
            <w:vAlign w:val="bottom"/>
            <w:tcBorders>
              <w:top w:val="single" w:sz="8" w:color="0000FF"/>
            </w:tcBorders>
            <w:gridSpan w:val="2"/>
          </w:tcPr>
          <w:p>
            <w:pPr>
              <w:spacing w:after="0"/>
              <w:rPr>
                <w:sz w:val="24"/>
                <w:szCs w:val="24"/>
                <w:color w:val="auto"/>
              </w:rPr>
            </w:pPr>
          </w:p>
        </w:tc>
        <w:tc>
          <w:tcPr>
            <w:tcW w:w="7880" w:type="dxa"/>
            <w:vAlign w:val="bottom"/>
            <w:gridSpan w:val="16"/>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7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color w:val="auto"/>
                <w:w w:val="98"/>
              </w:rPr>
              <w:t>Three months ended June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color w:val="auto"/>
              </w:rPr>
              <w:t>Nine months ended June 30,</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4"/>
          </w:tcPr>
          <w:p>
            <w:pPr>
              <w:jc w:val="right"/>
              <w:ind w:right="219"/>
              <w:spacing w:after="0"/>
              <w:rPr>
                <w:sz w:val="20"/>
                <w:szCs w:val="20"/>
                <w:color w:val="auto"/>
              </w:rPr>
            </w:pPr>
            <w:r>
              <w:rPr>
                <w:rFonts w:ascii="Arial" w:cs="Arial" w:eastAsia="Arial" w:hAnsi="Arial"/>
                <w:sz w:val="16"/>
                <w:szCs w:val="16"/>
                <w:color w:val="auto"/>
                <w:w w:val="92"/>
              </w:rPr>
              <w:t>(in thousands, except per share data)</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Product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81,714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77,627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247,288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210,592</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71,895</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112,236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103,517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332,686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282,487</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Cost of product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38,435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120,480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102,157</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service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19,043</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3,996</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sales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125,196</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63,819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57,426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188,212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157,291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51,325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41,199</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43,430</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135,954</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21,337</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(14,716)</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6,621</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common shares: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35,740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36,838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35,740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518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color w:val="auto"/>
                <w:w w:val="93"/>
              </w:rPr>
              <w:t>Nine months ended June 30,</w:t>
            </w:r>
          </w:p>
        </w:tc>
      </w:tr>
      <w:tr>
        <w:trPr>
          <w:trHeight w:val="210"/>
        </w:trPr>
        <w:tc>
          <w:tcPr>
            <w:tcW w:w="5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r>
      <w:tr>
        <w:trPr>
          <w:trHeight w:val="209"/>
        </w:trPr>
        <w:tc>
          <w:tcPr>
            <w:tcW w:w="5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6,727</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4,126</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89"/>
              </w:rPr>
              <w:t>8,160</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(1,359)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90"/>
              </w:rPr>
              <w:t>(1,519)</w:t>
            </w:r>
          </w:p>
        </w:tc>
      </w:tr>
      <w:tr>
        <w:trPr>
          <w:trHeight w:val="207"/>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(loss) income</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(1,359)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0"/>
              </w:rPr>
              <w:t>(1,519)</w:t>
            </w:r>
          </w:p>
        </w:tc>
      </w:tr>
      <w:tr>
        <w:trPr>
          <w:trHeight w:val="23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6,618</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2,767</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89"/>
              </w:rPr>
              <w:t>6,641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June 30, 2023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3"/>
              </w:rPr>
              <w:t>September 30, 2022</w:t>
            </w:r>
          </w:p>
        </w:tc>
      </w:tr>
      <w:tr>
        <w:trPr>
          <w:trHeight w:val="210"/>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20" w:type="dxa"/>
            <w:vAlign w:val="bottom"/>
            <w:gridSpan w:val="4"/>
          </w:tcPr>
          <w:p>
            <w:pPr>
              <w:jc w:val="right"/>
              <w:ind w:right="759"/>
              <w:spacing w:after="0"/>
              <w:rPr>
                <w:sz w:val="20"/>
                <w:szCs w:val="20"/>
                <w:color w:val="auto"/>
              </w:rPr>
            </w:pPr>
            <w:r>
              <w:rPr>
                <w:rFonts w:ascii="Arial" w:cs="Arial" w:eastAsia="Arial" w:hAnsi="Arial"/>
                <w:sz w:val="16"/>
                <w:szCs w:val="16"/>
                <w:color w:val="auto"/>
              </w:rPr>
              <w:t>(in thousands, except share data)</w:t>
            </w:r>
          </w:p>
        </w:tc>
      </w:tr>
      <w:tr>
        <w:trPr>
          <w:trHeight w:val="21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4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34,900</w:t>
            </w:r>
          </w:p>
        </w:tc>
      </w:tr>
      <w:tr>
        <w:trPr>
          <w:trHeight w:val="213"/>
        </w:trPr>
        <w:tc>
          <w:tcPr>
            <w:tcW w:w="7440" w:type="dxa"/>
            <w:vAlign w:val="bottom"/>
            <w:gridSpan w:val="3"/>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47,964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50,450</w:t>
            </w: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73,223</w:t>
            </w:r>
          </w:p>
        </w:tc>
      </w:tr>
      <w:tr>
        <w:trPr>
          <w:trHeight w:val="213"/>
        </w:trPr>
        <w:tc>
          <w:tcPr>
            <w:tcW w:w="7440" w:type="dxa"/>
            <w:vAlign w:val="bottom"/>
            <w:gridSpan w:val="3"/>
          </w:tcPr>
          <w:p>
            <w:pPr>
              <w:ind w:left="14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3,764</w:t>
            </w: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w:t>
            </w:r>
          </w:p>
        </w:tc>
      </w:tr>
      <w:tr>
        <w:trPr>
          <w:trHeight w:val="207"/>
        </w:trPr>
        <w:tc>
          <w:tcPr>
            <w:tcW w:w="7440" w:type="dxa"/>
            <w:vAlign w:val="bottom"/>
            <w:gridSpan w:val="3"/>
          </w:tcPr>
          <w:p>
            <w:pPr>
              <w:ind w:left="5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167,354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166,208</w:t>
            </w:r>
          </w:p>
        </w:tc>
      </w:tr>
      <w:tr>
        <w:trPr>
          <w:trHeight w:val="21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Property, equipment and improvements, net</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27,594</w:t>
            </w:r>
          </w:p>
        </w:tc>
      </w:tr>
      <w:tr>
        <w:trPr>
          <w:trHeight w:val="213"/>
        </w:trPr>
        <w:tc>
          <w:tcPr>
            <w:tcW w:w="7440" w:type="dxa"/>
            <w:vAlign w:val="bottom"/>
            <w:gridSpan w:val="3"/>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283,288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302,064</w:t>
            </w:r>
          </w:p>
        </w:tc>
      </w:tr>
      <w:tr>
        <w:trPr>
          <w:trHeight w:val="21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340,477</w:t>
            </w:r>
          </w:p>
        </w:tc>
      </w:tr>
      <w:tr>
        <w:trPr>
          <w:trHeight w:val="213"/>
        </w:trPr>
        <w:tc>
          <w:tcPr>
            <w:tcW w:w="7440" w:type="dxa"/>
            <w:vAlign w:val="bottom"/>
            <w:gridSpan w:val="3"/>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15,299</w:t>
            </w:r>
          </w:p>
        </w:tc>
      </w:tr>
      <w:tr>
        <w:trPr>
          <w:trHeight w:val="216"/>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r>
      <w:tr>
        <w:trPr>
          <w:trHeight w:val="213"/>
        </w:trPr>
        <w:tc>
          <w:tcPr>
            <w:tcW w:w="7440" w:type="dxa"/>
            <w:vAlign w:val="bottom"/>
            <w:gridSpan w:val="3"/>
          </w:tcPr>
          <w:p>
            <w:pPr>
              <w:ind w:left="56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840,060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853,895</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4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15,523</w:t>
            </w:r>
          </w:p>
        </w:tc>
      </w:tr>
      <w:tr>
        <w:trPr>
          <w:trHeight w:val="213"/>
        </w:trPr>
        <w:tc>
          <w:tcPr>
            <w:tcW w:w="744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32,373</w:t>
            </w: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14,576</w:t>
            </w:r>
          </w:p>
        </w:tc>
      </w:tr>
      <w:tr>
        <w:trPr>
          <w:trHeight w:val="213"/>
        </w:trPr>
        <w:tc>
          <w:tcPr>
            <w:tcW w:w="7440" w:type="dxa"/>
            <w:vAlign w:val="bottom"/>
            <w:gridSpan w:val="3"/>
          </w:tcPr>
          <w:p>
            <w:pPr>
              <w:ind w:left="140"/>
              <w:spacing w:after="0"/>
              <w:rPr>
                <w:sz w:val="20"/>
                <w:szCs w:val="20"/>
                <w:color w:val="auto"/>
              </w:rPr>
            </w:pPr>
            <w:r>
              <w:rPr>
                <w:rFonts w:ascii="Arial" w:cs="Arial" w:eastAsia="Arial" w:hAnsi="Arial"/>
                <w:sz w:val="16"/>
                <w:szCs w:val="16"/>
                <w:color w:val="auto"/>
              </w:rPr>
              <w:t>Unearned revenue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19,803</w:t>
            </w: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w:t>
            </w:r>
          </w:p>
        </w:tc>
      </w:tr>
      <w:tr>
        <w:trPr>
          <w:trHeight w:val="213"/>
        </w:trPr>
        <w:tc>
          <w:tcPr>
            <w:tcW w:w="744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11,036</w:t>
            </w:r>
          </w:p>
        </w:tc>
      </w:tr>
      <w:tr>
        <w:trPr>
          <w:trHeight w:val="213"/>
        </w:trPr>
        <w:tc>
          <w:tcPr>
            <w:tcW w:w="74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96,507</w:t>
            </w:r>
          </w:p>
        </w:tc>
      </w:tr>
      <w:tr>
        <w:trPr>
          <w:trHeight w:val="213"/>
        </w:trPr>
        <w:tc>
          <w:tcPr>
            <w:tcW w:w="7440" w:type="dxa"/>
            <w:vAlign w:val="bottom"/>
            <w:gridSpan w:val="3"/>
          </w:tcPr>
          <w:p>
            <w:pPr>
              <w:ind w:left="2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2,441</w:t>
            </w:r>
          </w:p>
        </w:tc>
      </w:tr>
      <w:tr>
        <w:trPr>
          <w:trHeight w:val="21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9,666</w:t>
            </w:r>
          </w:p>
        </w:tc>
      </w:tr>
      <w:tr>
        <w:trPr>
          <w:trHeight w:val="213"/>
        </w:trPr>
        <w:tc>
          <w:tcPr>
            <w:tcW w:w="7440" w:type="dxa"/>
            <w:vAlign w:val="bottom"/>
            <w:gridSpan w:val="3"/>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194,556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222,448</w:t>
            </w:r>
          </w:p>
        </w:tc>
      </w:tr>
      <w:tr>
        <w:trPr>
          <w:trHeight w:val="21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16,978</w:t>
            </w:r>
          </w:p>
        </w:tc>
      </w:tr>
      <w:tr>
        <w:trPr>
          <w:trHeight w:val="213"/>
        </w:trPr>
        <w:tc>
          <w:tcPr>
            <w:tcW w:w="74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4,342</w:t>
            </w:r>
          </w:p>
        </w:tc>
      </w:tr>
      <w:tr>
        <w:trPr>
          <w:trHeight w:val="213"/>
        </w:trPr>
        <w:tc>
          <w:tcPr>
            <w:tcW w:w="74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352,382</w:t>
            </w:r>
          </w:p>
        </w:tc>
      </w:tr>
      <w:tr>
        <w:trPr>
          <w:trHeight w:val="175"/>
        </w:trPr>
        <w:tc>
          <w:tcPr>
            <w:tcW w:w="744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 xml:space="preserve">Commitments and Contingencies (See </w:t>
            </w:r>
            <w:r>
              <w:rPr>
                <w:rFonts w:ascii="Arial" w:cs="Arial" w:eastAsia="Arial" w:hAnsi="Arial"/>
                <w:sz w:val="16"/>
                <w:szCs w:val="16"/>
                <w:color w:val="0000FF"/>
              </w:rPr>
              <w:t>Note 13</w:t>
            </w: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25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40" w:type="dxa"/>
            <w:vAlign w:val="bottom"/>
            <w:gridSpan w:val="3"/>
          </w:tcPr>
          <w:p>
            <w:pPr>
              <w:ind w:left="140"/>
              <w:spacing w:after="0"/>
              <w:rPr>
                <w:sz w:val="20"/>
                <w:szCs w:val="20"/>
                <w:color w:val="auto"/>
              </w:rPr>
            </w:pPr>
            <w:r>
              <w:rPr>
                <w:rFonts w:ascii="Arial" w:cs="Arial" w:eastAsia="Arial" w:hAnsi="Arial"/>
                <w:sz w:val="16"/>
                <w:szCs w:val="16"/>
                <w:color w:val="auto"/>
              </w:rPr>
              <w:t>Preferred stock, $.01 par value; 2,000,000 shares authorized; none issued and outstanding</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7"/>
              </w:rPr>
              <w:t>Common stock, $.01 par value; 60,000,000 shares authorized; 42,408,154 and 41,950,732 shares issued</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3"/>
        </w:trPr>
        <w:tc>
          <w:tcPr>
            <w:tcW w:w="7440" w:type="dxa"/>
            <w:vAlign w:val="bottom"/>
            <w:gridSpan w:val="3"/>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398,845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385,244</w:t>
            </w: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200,075</w:t>
            </w:r>
          </w:p>
        </w:tc>
      </w:tr>
      <w:tr>
        <w:trPr>
          <w:trHeight w:val="213"/>
        </w:trPr>
        <w:tc>
          <w:tcPr>
            <w:tcW w:w="7440" w:type="dxa"/>
            <w:vAlign w:val="bottom"/>
            <w:gridSpan w:val="3"/>
          </w:tcPr>
          <w:p>
            <w:pPr>
              <w:ind w:left="1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(24,696)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(26,054)</w:t>
            </w:r>
          </w:p>
        </w:tc>
      </w:tr>
      <w:tr>
        <w:trPr>
          <w:trHeight w:val="219"/>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Treasury stock, at cost, 6,451,904 and 6,412,812 shares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(58,172)</w:t>
            </w:r>
          </w:p>
        </w:tc>
      </w:tr>
      <w:tr>
        <w:trPr>
          <w:trHeight w:val="206"/>
        </w:trPr>
        <w:tc>
          <w:tcPr>
            <w:tcW w:w="7440" w:type="dxa"/>
            <w:vAlign w:val="bottom"/>
            <w:tcBorders>
              <w:bottom w:val="single" w:sz="8" w:color="CCEEFF"/>
            </w:tcBorders>
            <w:gridSpan w:val="3"/>
          </w:tcPr>
          <w:p>
            <w:pPr>
              <w:ind w:left="3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531,583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501,513</w:t>
            </w:r>
          </w:p>
        </w:tc>
      </w:tr>
      <w:tr>
        <w:trPr>
          <w:trHeight w:val="233"/>
        </w:trPr>
        <w:tc>
          <w:tcPr>
            <w:tcW w:w="744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853,895</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6"/>
                <w:szCs w:val="16"/>
                <w:color w:val="auto"/>
              </w:rPr>
              <w:t>Nine months ended June 30,</w:t>
            </w:r>
          </w:p>
        </w:tc>
      </w:tr>
      <w:tr>
        <w:trPr>
          <w:trHeight w:val="210"/>
        </w:trPr>
        <w:tc>
          <w:tcPr>
            <w:tcW w:w="80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2022</w:t>
            </w:r>
          </w:p>
        </w:tc>
      </w:tr>
      <w:tr>
        <w:trPr>
          <w:trHeight w:val="206"/>
        </w:trPr>
        <w:tc>
          <w:tcPr>
            <w:tcW w:w="8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w w:val="99"/>
              </w:rPr>
              <w:t>(Restated) (1)</w:t>
            </w:r>
          </w:p>
        </w:tc>
      </w:tr>
      <w:tr>
        <w:trPr>
          <w:trHeight w:val="219"/>
        </w:trPr>
        <w:tc>
          <w:tcPr>
            <w:tcW w:w="8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40" w:type="dxa"/>
            <w:vAlign w:val="bottom"/>
            <w:gridSpan w:val="4"/>
          </w:tcPr>
          <w:p>
            <w:pPr>
              <w:jc w:val="right"/>
              <w:ind w:right="1059"/>
              <w:spacing w:after="0"/>
              <w:rPr>
                <w:sz w:val="20"/>
                <w:szCs w:val="20"/>
                <w:color w:val="auto"/>
              </w:rPr>
            </w:pPr>
            <w:r>
              <w:rPr>
                <w:rFonts w:ascii="Arial" w:cs="Arial" w:eastAsia="Arial" w:hAnsi="Arial"/>
                <w:sz w:val="16"/>
                <w:szCs w:val="16"/>
                <w:color w:val="auto"/>
              </w:rPr>
              <w:t>(in thousands)</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18,405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8,160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Depreciation of property, equipment and improvements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4,993</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23,638</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6,402</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 (benefit) provision</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1,045</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 (net of acquisitions)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(17,306)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(15,385)</w:t>
            </w:r>
          </w:p>
        </w:tc>
      </w:tr>
      <w:tr>
        <w:trPr>
          <w:trHeight w:val="207"/>
        </w:trPr>
        <w:tc>
          <w:tcPr>
            <w:tcW w:w="8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31,216</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(347,553)</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property, equipment, improvements and certain other intangible assets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(4,218)</w:t>
            </w:r>
          </w:p>
        </w:tc>
      </w:tr>
      <w:tr>
        <w:trPr>
          <w:trHeight w:val="207"/>
        </w:trPr>
        <w:tc>
          <w:tcPr>
            <w:tcW w:w="8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(351,771)</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Proceeds from long-term debt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350,000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debt issuance costs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Payments on long-term debt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0"/>
              </w:rPr>
              <w:t>(29,375)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(129,369)</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plan transactions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Proceeds from employee stock purchase plan transactions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paid for net share settlement of share-based payment options and awards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(6,476)</w:t>
            </w:r>
          </w:p>
        </w:tc>
      </w:tr>
      <w:tr>
        <w:trPr>
          <w:trHeight w:val="207"/>
        </w:trPr>
        <w:tc>
          <w:tcPr>
            <w:tcW w:w="8060" w:type="dxa"/>
            <w:vAlign w:val="bottom"/>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0"/>
              </w:rPr>
              <w:t>(28,920)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208,551</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r>
      <w:tr>
        <w:trPr>
          <w:trHeight w:val="206"/>
        </w:trPr>
        <w:tc>
          <w:tcPr>
            <w:tcW w:w="806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(110,917)</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152,432</w:t>
            </w: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29,580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41,515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0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paid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w:t>
            </w:r>
          </w:p>
        </w:tc>
      </w:tr>
      <w:tr>
        <w:trPr>
          <w:trHeight w:val="213"/>
        </w:trPr>
        <w:tc>
          <w:tcPr>
            <w:tcW w:w="8060" w:type="dxa"/>
            <w:vAlign w:val="bottom"/>
          </w:tcPr>
          <w:p>
            <w:pPr>
              <w:ind w:left="100"/>
              <w:spacing w:after="0"/>
              <w:rPr>
                <w:sz w:val="20"/>
                <w:szCs w:val="20"/>
                <w:color w:val="auto"/>
              </w:rPr>
            </w:pPr>
            <w:r>
              <w:rPr>
                <w:rFonts w:ascii="Arial" w:cs="Arial" w:eastAsia="Arial" w:hAnsi="Arial"/>
                <w:sz w:val="16"/>
                <w:szCs w:val="16"/>
                <w:color w:val="auto"/>
              </w:rPr>
              <w:t>Income taxes paid, net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4,666</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schedule of non-cash investing and financing activities: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Transfer of inventory to property, equipment and improvements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(1,742)</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Accrual for purchase of property, equipment, improvements and certain other intangible assets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bl>
    <w:p>
      <w:pPr>
        <w:spacing w:after="0" w:line="260" w:lineRule="exact"/>
        <w:rPr>
          <w:sz w:val="20"/>
          <w:szCs w:val="20"/>
          <w:color w:val="auto"/>
        </w:rPr>
      </w:pPr>
    </w:p>
    <w:p>
      <w:pPr>
        <w:ind w:right="160" w:firstLine="8"/>
        <w:spacing w:after="0" w:line="293"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As described in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to these condensed consolidated financial statements, we have restated the condensed consolidated statements of cash flows for the nine months ended June 30, 2022.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3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Total</w:t>
            </w:r>
          </w:p>
        </w:tc>
      </w:tr>
      <w:tr>
        <w:trPr>
          <w:trHeight w:val="189"/>
        </w:trPr>
        <w:tc>
          <w:tcPr>
            <w:tcW w:w="3340" w:type="dxa"/>
            <w:vAlign w:val="bottom"/>
          </w:tcPr>
          <w:p>
            <w:pPr>
              <w:spacing w:after="0"/>
              <w:rPr>
                <w:sz w:val="16"/>
                <w:szCs w:val="16"/>
                <w:color w:val="auto"/>
              </w:rPr>
            </w:pPr>
          </w:p>
        </w:tc>
        <w:tc>
          <w:tcPr>
            <w:tcW w:w="1600" w:type="dxa"/>
            <w:vAlign w:val="bottom"/>
            <w:gridSpan w:val="4"/>
          </w:tcPr>
          <w:p>
            <w:pPr>
              <w:jc w:val="right"/>
              <w:ind w:right="268"/>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6"/>
                <w:szCs w:val="16"/>
                <w:color w:val="auto"/>
              </w:rPr>
            </w:pPr>
          </w:p>
        </w:tc>
        <w:tc>
          <w:tcPr>
            <w:tcW w:w="1620" w:type="dxa"/>
            <w:vAlign w:val="bottom"/>
            <w:gridSpan w:val="4"/>
          </w:tcPr>
          <w:p>
            <w:pPr>
              <w:jc w:val="right"/>
              <w:ind w:right="30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Paid-In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w w:val="96"/>
              </w:rPr>
              <w:t>Retained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3"/>
              </w:rPr>
              <w:t>Stockholders'</w:t>
            </w:r>
          </w:p>
        </w:tc>
      </w:tr>
      <w:tr>
        <w:trPr>
          <w:trHeight w:val="203"/>
        </w:trPr>
        <w:tc>
          <w:tcPr>
            <w:tcW w:w="33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91"/>
              </w:rPr>
              <w:t>Par Value</w:t>
            </w:r>
          </w:p>
        </w:tc>
        <w:tc>
          <w:tcPr>
            <w:tcW w:w="12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w w:val="97"/>
              </w:rPr>
              <w:t>Earnings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color w:val="auto"/>
                <w:w w:val="94"/>
              </w:rPr>
              <w:t>(Loss)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7"/>
              </w:rPr>
              <w:t>Equity</w:t>
            </w:r>
          </w:p>
        </w:tc>
      </w:tr>
      <w:tr>
        <w:trPr>
          <w:trHeight w:val="26"/>
        </w:trPr>
        <w:tc>
          <w:tcPr>
            <w:tcW w:w="33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March 31, 2022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376,579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480,504</w:t>
            </w:r>
          </w:p>
        </w:tc>
      </w:tr>
      <w:tr>
        <w:trPr>
          <w:trHeight w:val="182"/>
        </w:trPr>
        <w:tc>
          <w:tcPr>
            <w:tcW w:w="3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4,126</w:t>
            </w:r>
          </w:p>
        </w:tc>
      </w:tr>
      <w:tr>
        <w:trPr>
          <w:trHeight w:val="20"/>
        </w:trPr>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Employee stock purchase plan issuances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430</w:t>
            </w:r>
          </w:p>
        </w:tc>
      </w:tr>
      <w:tr>
        <w:trPr>
          <w:trHeight w:val="147"/>
        </w:trPr>
        <w:tc>
          <w:tcPr>
            <w:tcW w:w="33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Taxes paid for net share settlement of share-based</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8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awards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Issuance of stock under stock award plans</w:t>
            </w:r>
          </w:p>
        </w:tc>
        <w:tc>
          <w:tcPr>
            <w:tcW w:w="66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1,146</w:t>
            </w:r>
          </w:p>
        </w:tc>
      </w:tr>
      <w:tr>
        <w:trPr>
          <w:trHeight w:val="206"/>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w:t>
            </w:r>
          </w:p>
        </w:tc>
      </w:tr>
      <w:tr>
        <w:trPr>
          <w:trHeight w:val="196"/>
        </w:trPr>
        <w:tc>
          <w:tcPr>
            <w:tcW w:w="3340" w:type="dxa"/>
            <w:vAlign w:val="bottom"/>
          </w:tcPr>
          <w:p>
            <w:pPr>
              <w:ind w:left="20"/>
              <w:spacing w:after="0"/>
              <w:rPr>
                <w:sz w:val="20"/>
                <w:szCs w:val="20"/>
                <w:color w:val="auto"/>
              </w:rPr>
            </w:pPr>
            <w:r>
              <w:rPr>
                <w:rFonts w:ascii="Arial" w:cs="Arial" w:eastAsia="Arial" w:hAnsi="Arial"/>
                <w:sz w:val="14"/>
                <w:szCs w:val="14"/>
                <w:color w:val="auto"/>
              </w:rPr>
              <w:t>Balances, June 30, 2022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41,677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380,083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188,852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486,922</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3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Balance on September 30, 2021</w:t>
            </w:r>
          </w:p>
        </w:tc>
        <w:tc>
          <w:tcPr>
            <w:tcW w:w="660" w:type="dxa"/>
            <w:vAlign w:val="bottom"/>
          </w:tcPr>
          <w:p>
            <w:pPr>
              <w:jc w:val="right"/>
              <w:spacing w:after="0"/>
              <w:rPr>
                <w:sz w:val="20"/>
                <w:szCs w:val="20"/>
                <w:color w:val="auto"/>
              </w:rPr>
            </w:pPr>
            <w:r>
              <w:rPr>
                <w:rFonts w:ascii="Arial" w:cs="Arial" w:eastAsia="Arial" w:hAnsi="Arial"/>
                <w:sz w:val="14"/>
                <w:szCs w:val="14"/>
                <w:color w:val="auto"/>
              </w:rPr>
              <w:t>40,653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6,391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(56,535)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370,699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180,692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(22,746)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472,517</w:t>
            </w:r>
          </w:p>
        </w:tc>
      </w:tr>
      <w:tr>
        <w:trPr>
          <w:trHeight w:val="18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8,160</w:t>
            </w:r>
          </w:p>
        </w:tc>
      </w:tr>
      <w:tr>
        <w:trPr>
          <w:trHeight w:val="182"/>
        </w:trPr>
        <w:tc>
          <w:tcPr>
            <w:tcW w:w="33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(1,519)</w:t>
            </w:r>
          </w:p>
        </w:tc>
      </w:tr>
      <w:tr>
        <w:trPr>
          <w:trHeight w:val="20"/>
        </w:trPr>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 issuances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r>
      <w:tr>
        <w:trPr>
          <w:trHeight w:val="143"/>
        </w:trPr>
        <w:tc>
          <w:tcPr>
            <w:tcW w:w="3340" w:type="dxa"/>
            <w:vAlign w:val="bottom"/>
          </w:tcPr>
          <w:p>
            <w:pPr>
              <w:ind w:left="20"/>
              <w:spacing w:after="0" w:line="143" w:lineRule="exact"/>
              <w:rPr>
                <w:sz w:val="20"/>
                <w:szCs w:val="20"/>
                <w:color w:val="auto"/>
              </w:rPr>
            </w:pPr>
            <w:r>
              <w:rPr>
                <w:rFonts w:ascii="Arial" w:cs="Arial" w:eastAsia="Arial" w:hAnsi="Arial"/>
                <w:sz w:val="14"/>
                <w:szCs w:val="14"/>
                <w:color w:val="auto"/>
              </w:rPr>
              <w:t>Taxes paid for net share settlement of share-based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33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(6,476)</w:t>
            </w:r>
          </w:p>
        </w:tc>
      </w:tr>
      <w:tr>
        <w:trPr>
          <w:trHeight w:val="18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stock under stock award plans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6,727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6,737</w:t>
            </w:r>
          </w:p>
        </w:tc>
      </w:tr>
      <w:tr>
        <w:trPr>
          <w:trHeight w:val="197"/>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 expense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6,402</w:t>
            </w:r>
          </w:p>
        </w:tc>
      </w:tr>
      <w:tr>
        <w:trPr>
          <w:trHeight w:val="21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June 30, 2022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41,677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380,083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188,852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(24,265)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486,922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March 31, 2023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6,464</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(61,446)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394,036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211,753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520,179</w:t>
            </w:r>
          </w:p>
        </w:tc>
      </w:tr>
      <w:tr>
        <w:trPr>
          <w:trHeight w:val="182"/>
        </w:trPr>
        <w:tc>
          <w:tcPr>
            <w:tcW w:w="3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6,727</w:t>
            </w:r>
          </w:p>
        </w:tc>
      </w:tr>
      <w:tr>
        <w:trPr>
          <w:trHeight w:val="20"/>
        </w:trPr>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2"/>
        </w:trPr>
        <w:tc>
          <w:tcPr>
            <w:tcW w:w="3340" w:type="dxa"/>
            <w:vAlign w:val="bottom"/>
          </w:tcPr>
          <w:p>
            <w:pPr>
              <w:ind w:left="20"/>
              <w:spacing w:after="0"/>
              <w:rPr>
                <w:sz w:val="20"/>
                <w:szCs w:val="20"/>
                <w:color w:val="auto"/>
              </w:rPr>
            </w:pPr>
            <w:r>
              <w:rPr>
                <w:rFonts w:ascii="Arial" w:cs="Arial" w:eastAsia="Arial" w:hAnsi="Arial"/>
                <w:sz w:val="14"/>
                <w:szCs w:val="14"/>
                <w:color w:val="auto"/>
              </w:rPr>
              <w:t>Employee stock purchase plan issuances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520</w:t>
            </w:r>
          </w:p>
        </w:tc>
      </w:tr>
      <w:tr>
        <w:trPr>
          <w:trHeight w:val="20"/>
        </w:trPr>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3"/>
        </w:trPr>
        <w:tc>
          <w:tcPr>
            <w:tcW w:w="33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Taxes paid for net share settlement of share-based</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94"/>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options and awards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2"/>
        </w:trPr>
        <w:tc>
          <w:tcPr>
            <w:tcW w:w="3340" w:type="dxa"/>
            <w:vAlign w:val="bottom"/>
          </w:tcPr>
          <w:p>
            <w:pPr>
              <w:ind w:left="20"/>
              <w:spacing w:after="0"/>
              <w:rPr>
                <w:sz w:val="20"/>
                <w:szCs w:val="20"/>
                <w:color w:val="auto"/>
              </w:rPr>
            </w:pPr>
            <w:r>
              <w:rPr>
                <w:rFonts w:ascii="Arial" w:cs="Arial" w:eastAsia="Arial" w:hAnsi="Arial"/>
                <w:sz w:val="14"/>
                <w:szCs w:val="14"/>
                <w:color w:val="auto"/>
              </w:rPr>
              <w:t>Issuance of stock under stock award plans</w:t>
            </w:r>
          </w:p>
        </w:tc>
        <w:tc>
          <w:tcPr>
            <w:tcW w:w="66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944</w:t>
            </w:r>
          </w:p>
        </w:tc>
      </w:tr>
      <w:tr>
        <w:trPr>
          <w:trHeight w:val="20"/>
        </w:trPr>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3,519</w:t>
            </w: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color w:val="auto"/>
              </w:rPr>
              <w:t>Balances, June 30, 2023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42,408</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(61,470)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398,845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218,480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(24,696)</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531,583</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3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2"/>
        </w:trPr>
        <w:tc>
          <w:tcPr>
            <w:tcW w:w="3340" w:type="dxa"/>
            <w:vAlign w:val="bottom"/>
          </w:tcPr>
          <w:p>
            <w:pPr>
              <w:ind w:left="20"/>
              <w:spacing w:after="0"/>
              <w:rPr>
                <w:sz w:val="20"/>
                <w:szCs w:val="20"/>
                <w:color w:val="auto"/>
              </w:rPr>
            </w:pPr>
            <w:r>
              <w:rPr>
                <w:rFonts w:ascii="Arial" w:cs="Arial" w:eastAsia="Arial" w:hAnsi="Arial"/>
                <w:sz w:val="14"/>
                <w:szCs w:val="14"/>
                <w:color w:val="auto"/>
              </w:rPr>
              <w:t>Balances, September 30, 2022</w:t>
            </w:r>
          </w:p>
        </w:tc>
        <w:tc>
          <w:tcPr>
            <w:tcW w:w="660" w:type="dxa"/>
            <w:vAlign w:val="bottom"/>
          </w:tcPr>
          <w:p>
            <w:pPr>
              <w:jc w:val="right"/>
              <w:spacing w:after="0"/>
              <w:rPr>
                <w:sz w:val="20"/>
                <w:szCs w:val="20"/>
                <w:color w:val="auto"/>
              </w:rPr>
            </w:pPr>
            <w:r>
              <w:rPr>
                <w:rFonts w:ascii="Arial" w:cs="Arial" w:eastAsia="Arial" w:hAnsi="Arial"/>
                <w:sz w:val="14"/>
                <w:szCs w:val="14"/>
                <w:color w:val="auto"/>
              </w:rPr>
              <w:t>41,950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6,413</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(58,172)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385,244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200,075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(26,054)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501,513</w:t>
            </w:r>
          </w:p>
        </w:tc>
      </w:tr>
      <w:tr>
        <w:trPr>
          <w:trHeight w:val="20"/>
        </w:trPr>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18,405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18,405</w:t>
            </w: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1,358</w:t>
            </w:r>
          </w:p>
        </w:tc>
      </w:tr>
      <w:tr>
        <w:trPr>
          <w:trHeight w:val="18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purchase plan issuances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1,690</w:t>
            </w:r>
          </w:p>
        </w:tc>
      </w:tr>
      <w:tr>
        <w:trPr>
          <w:trHeight w:val="143"/>
        </w:trPr>
        <w:tc>
          <w:tcPr>
            <w:tcW w:w="3340" w:type="dxa"/>
            <w:vAlign w:val="bottom"/>
          </w:tcPr>
          <w:p>
            <w:pPr>
              <w:ind w:left="20"/>
              <w:spacing w:after="0" w:line="143" w:lineRule="exact"/>
              <w:rPr>
                <w:sz w:val="20"/>
                <w:szCs w:val="20"/>
                <w:color w:val="auto"/>
              </w:rPr>
            </w:pPr>
            <w:r>
              <w:rPr>
                <w:rFonts w:ascii="Arial" w:cs="Arial" w:eastAsia="Arial" w:hAnsi="Arial"/>
                <w:sz w:val="14"/>
                <w:szCs w:val="14"/>
                <w:color w:val="auto"/>
              </w:rPr>
              <w:t>Taxes paid for net share settlement of share-based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33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(3,851)</w:t>
            </w:r>
          </w:p>
        </w:tc>
      </w:tr>
      <w:tr>
        <w:trPr>
          <w:trHeight w:val="18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stock under stock award plans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2,612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2,616</w:t>
            </w:r>
          </w:p>
        </w:tc>
      </w:tr>
      <w:tr>
        <w:trPr>
          <w:trHeight w:val="182"/>
        </w:trPr>
        <w:tc>
          <w:tcPr>
            <w:tcW w:w="33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9,852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9,852</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June 30, 2023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42,408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(61,470)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398,845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218,480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531,583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40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 OF UNAUDITED INTERIM CONDENSED CONSOLIDATED FINANCIAL STATEMENTS AND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unaudited condensed consolidated financial statements of Digi International Inc. ("we", "us", "our", "Digi" or "the Company") have been prepared in accordance with the rules and regulations of the United States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18">
        <w:r>
          <w:rPr>
            <w:rFonts w:ascii="Arial" w:cs="Arial" w:eastAsia="Arial" w:hAnsi="Arial"/>
            <w:sz w:val="16"/>
            <w:szCs w:val="16"/>
            <w:u w:val="single" w:color="auto"/>
            <w:color w:val="0000FF"/>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September 30, 2022 (the "2022 Financial Statements"). We use the same accounting policies in preparing quarterly and annual financial statements. The quarterly results of operations are not necessarily indicative of the results to be expected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2. RESTATEMENT OF PREVIOUSLY ISSUED FINANCIAL STATEMENTS</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condensed consolidated statement of cash flows for the nine months ended June 30, 2022 has been restated for errors made with regard to the cash flow classification of debt issuance costs and debt issuance cost amortization.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Immaterial Correction of Prior Period Financial Statements</w:t>
      </w:r>
    </w:p>
    <w:p>
      <w:pPr>
        <w:spacing w:after="0" w:line="19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Subsequent to the issuance of the Company's financial statements for the quarter ended June 30, 2022, the Company made certain corrections in the condensed consolidated statements of cash flows related to the debt issuance costs associated with our second and third amended and restated credit agreement entered into in November and December 2021, respectively. We corrected $13.4 million of debt issuance cost previously recorded within changes in operating assets and liabilities (net of acquisitions) within the operating activities and correctly presented the cash outflows as payments of debt issuance costs within financing activities. We also corrected $3.2 million of amortization of debt issuance costs previously included in payments on long-term debt within financing activities and changes in operating assets and liabilities (net of acquisitions) within operating activities to amortization within operating activities. There was no impact to the condensed consolidated balance sheets, condensed consolidated statements of operations or condensed consolidated statements of comprehensive income as a result of these corrections. The Company determined that this restatement was not material to the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3. EARNINGS PER SHARE</w:t>
      </w:r>
    </w:p>
    <w:p>
      <w:pPr>
        <w:spacing w:after="0" w:line="1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is a reconciliation of the numerators and denominators in the net income per common share calculations (in thousands, except per common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w w:val="94"/>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7"/>
              </w:rPr>
              <w:t>Nine months ended June 30,</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6,727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4,126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18,405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8,160</w:t>
            </w:r>
          </w:p>
        </w:tc>
        <w:tc>
          <w:tcPr>
            <w:tcW w:w="0" w:type="dxa"/>
            <w:vAlign w:val="bottom"/>
          </w:tcPr>
          <w:p>
            <w:pPr>
              <w:spacing w:after="0"/>
              <w:rPr>
                <w:sz w:val="1"/>
                <w:szCs w:val="1"/>
                <w:color w:val="auto"/>
              </w:rPr>
            </w:pPr>
          </w:p>
        </w:tc>
      </w:tr>
      <w:tr>
        <w:trPr>
          <w:trHeight w:val="46"/>
        </w:trPr>
        <w:tc>
          <w:tcPr>
            <w:tcW w:w="4940" w:type="dxa"/>
            <w:vAlign w:val="bottom"/>
            <w:tcBorders>
              <w:bottom w:val="single" w:sz="8" w:color="CCEEFF"/>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9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1"/>
              </w:rPr>
              <w:t>Denominator for basic net income per common share — weighted</w:t>
            </w: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35,761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34,900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shares outstanding</w:t>
            </w:r>
          </w:p>
        </w:tc>
        <w:tc>
          <w:tcPr>
            <w:tcW w:w="3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 and restricted stock units</w:t>
            </w: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168"/>
        </w:trPr>
        <w:tc>
          <w:tcPr>
            <w:tcW w:w="4940" w:type="dxa"/>
            <w:vAlign w:val="bottom"/>
          </w:tcPr>
          <w:p>
            <w:pPr>
              <w:ind w:left="140"/>
              <w:spacing w:after="0" w:line="168" w:lineRule="exact"/>
              <w:rPr>
                <w:sz w:val="20"/>
                <w:szCs w:val="20"/>
                <w:color w:val="auto"/>
              </w:rPr>
            </w:pPr>
            <w:r>
              <w:rPr>
                <w:rFonts w:ascii="Arial" w:cs="Arial" w:eastAsia="Arial" w:hAnsi="Arial"/>
                <w:sz w:val="18"/>
                <w:szCs w:val="18"/>
                <w:color w:val="auto"/>
              </w:rPr>
              <w:t>Denominator for diluted net income per common share —</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adjusted weighted average shares</w:t>
            </w:r>
          </w:p>
        </w:tc>
        <w:tc>
          <w:tcPr>
            <w:tcW w:w="3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36,817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35,740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36,838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35,740</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Net income per common share,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Digi excludes certain stock options and restricted stock unit awards that would have an anti-dilutive effect on our diluted net income per share calculation.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2023 and 2022, 599,957 and 939,101 shares outstanding were excluded, respectively.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477,521 and 778,573 shares outstanding were excluded,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4. SELECTED BALANCE SHEET DATA</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780" w:type="dxa"/>
            <w:vAlign w:val="bottom"/>
          </w:tcPr>
          <w:p>
            <w:pPr>
              <w:spacing w:after="0"/>
              <w:rPr>
                <w:sz w:val="20"/>
                <w:szCs w:val="20"/>
                <w:color w:val="auto"/>
              </w:rPr>
            </w:pPr>
            <w:r>
              <w:rPr>
                <w:rFonts w:ascii="Arial" w:cs="Arial" w:eastAsia="Arial" w:hAnsi="Arial"/>
                <w:sz w:val="18"/>
                <w:szCs w:val="18"/>
                <w:color w:val="auto"/>
              </w:rPr>
              <w:t>The following table shows selected balance sheet data (in thousands):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color w:val="auto"/>
                <w:w w:val="94"/>
              </w:rPr>
              <w:t>September 30,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54,362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58,967</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allowance for credit losses</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reserve for future credit returns and pricing adjustments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39,189</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33,442</w:t>
            </w:r>
          </w:p>
        </w:tc>
        <w:tc>
          <w:tcPr>
            <w:tcW w:w="0" w:type="dxa"/>
            <w:vAlign w:val="bottom"/>
          </w:tcPr>
          <w:p>
            <w:pPr>
              <w:spacing w:after="0"/>
              <w:rPr>
                <w:sz w:val="1"/>
                <w:szCs w:val="1"/>
                <w:color w:val="auto"/>
              </w:rPr>
            </w:pPr>
          </w:p>
        </w:tc>
      </w:tr>
      <w:tr>
        <w:trPr>
          <w:trHeight w:val="237"/>
        </w:trPr>
        <w:tc>
          <w:tcPr>
            <w:tcW w:w="77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83,605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73,223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 FAIR VALUE MEASUREMENTS</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Financial assets and liabilities are classified in the following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or liabilities that are measured at fair value on a recurring basis as of June 30, 2023 or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5. FAIR VALUE MEASUREMENTS (CONTINUED)</w:t>
      </w:r>
    </w:p>
    <w:p>
      <w:pPr>
        <w:spacing w:after="0" w:line="19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presents a reconciliation of the contingent consideration liability measured at fair value on a recurring basis using significant unobservable inputs (Level 3)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Three months ended June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Nine months ended June 30,</w:t>
            </w:r>
          </w:p>
        </w:tc>
      </w:tr>
      <w:tr>
        <w:trPr>
          <w:trHeight w:val="230"/>
        </w:trPr>
        <w:tc>
          <w:tcPr>
            <w:tcW w:w="434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2022</w:t>
            </w: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4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3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our acquisition of Haxiot, Inc. ("Haxiot") in March 2021, we agreed to make contingent earn-out payments, based upon certain revenue thresholds. The fair value of the remaining liability for contingent consideration for the acquisition of Haxiot was $0.0 million at June 30, 2023 and September 30, 2022.</w:t>
      </w:r>
    </w:p>
    <w:p>
      <w:pPr>
        <w:spacing w:after="0" w:line="143"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In connection with our acquisition of Ctek, Inc. ("Ctek") in July 2021, we agreed to make contingent earn-out payments, based upon certain revenue thresholds. The fair value of the remaining liability for contingent consideration for the acquisition of Ctek was $0.0 million at June 30, 2023 and September 30, 2022.</w:t>
      </w:r>
    </w:p>
    <w:p>
      <w:pPr>
        <w:spacing w:after="0" w:line="22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change in fair value of contingent consideration reflects our estimates of the probabilities of achieving the relevant targets and is discounted based on our estimated discount rate. The fair value of the contingent consideration at June 30, 2023 is based on the probability of achieving the specified revenue thresholds for Ctek. As of June 30, 2023, contingent consideration associated with Ctek remains subject to future performance through December 31, 2023.</w:t>
      </w:r>
    </w:p>
    <w:p>
      <w:pPr>
        <w:spacing w:after="0" w:line="108" w:lineRule="exact"/>
        <w:rPr>
          <w:sz w:val="20"/>
          <w:szCs w:val="20"/>
          <w:color w:val="auto"/>
        </w:rPr>
      </w:pPr>
    </w:p>
    <w:p>
      <w:pPr>
        <w:ind w:right="6780" w:firstLine="8"/>
        <w:spacing w:after="0" w:line="430"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June 30, 2023</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88"/>
              </w:rPr>
              <w:t>September 30, 2022</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Accum.</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Accum.</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3"/>
              </w:rPr>
              <w:t>carrying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amount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amort.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amount</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amort.</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and core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License agreements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trademarks</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39,711</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309,241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236,576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309,212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250,857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Order backlog</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435,651</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Amortization expense was $6.3 million and $7.0 million for the three months ended June 30, 2023 and 2022, respectively. Amortization expense was $19.0 million and $20.4 million for the nine months ended June 30, 2023 and 2022, respectively. Amortization expense is recorded on our condensed consolidated statements of operations within cost of sales and in general and administrative expense.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related to intangible assets for the remainder of fiscal 2023 and the five succeeding fiscal years is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(three months)</w:t>
            </w:r>
          </w:p>
        </w:tc>
        <w:tc>
          <w:tcPr>
            <w:tcW w:w="6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20" w:type="dxa"/>
            <w:vAlign w:val="bottom"/>
          </w:tcPr>
          <w:p>
            <w:pPr>
              <w:spacing w:after="0"/>
              <w:rPr>
                <w:sz w:val="19"/>
                <w:szCs w:val="19"/>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2024</w:t>
            </w:r>
          </w:p>
        </w:tc>
        <w:tc>
          <w:tcPr>
            <w:tcW w:w="6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25,238</w:t>
            </w:r>
          </w:p>
        </w:tc>
        <w:tc>
          <w:tcPr>
            <w:tcW w:w="20" w:type="dxa"/>
            <w:vAlign w:val="bottom"/>
          </w:tcPr>
          <w:p>
            <w:pPr>
              <w:spacing w:after="0"/>
              <w:rPr>
                <w:sz w:val="19"/>
                <w:szCs w:val="19"/>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20" w:type="dxa"/>
            <w:vAlign w:val="bottom"/>
          </w:tcPr>
          <w:p>
            <w:pPr>
              <w:spacing w:after="0"/>
              <w:rPr>
                <w:sz w:val="21"/>
                <w:szCs w:val="2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2026</w:t>
            </w:r>
          </w:p>
        </w:tc>
        <w:tc>
          <w:tcPr>
            <w:tcW w:w="6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20,593</w:t>
            </w:r>
          </w:p>
        </w:tc>
        <w:tc>
          <w:tcPr>
            <w:tcW w:w="20" w:type="dxa"/>
            <w:vAlign w:val="bottom"/>
          </w:tcPr>
          <w:p>
            <w:pPr>
              <w:spacing w:after="0"/>
              <w:rPr>
                <w:sz w:val="19"/>
                <w:szCs w:val="19"/>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20" w:type="dxa"/>
            <w:vAlign w:val="bottom"/>
          </w:tcPr>
          <w:p>
            <w:pPr>
              <w:spacing w:after="0"/>
              <w:rPr>
                <w:sz w:val="19"/>
                <w:szCs w:val="19"/>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2028</w:t>
            </w:r>
          </w:p>
        </w:tc>
        <w:tc>
          <w:tcPr>
            <w:tcW w:w="68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20,411</w:t>
            </w:r>
          </w:p>
        </w:tc>
        <w:tc>
          <w:tcPr>
            <w:tcW w:w="20" w:type="dxa"/>
            <w:vAlign w:val="bottom"/>
          </w:tcPr>
          <w:p>
            <w:pPr>
              <w:spacing w:after="0"/>
              <w:rPr>
                <w:sz w:val="20"/>
                <w:szCs w:val="20"/>
                <w:color w:val="auto"/>
              </w:rPr>
            </w:pPr>
          </w:p>
        </w:tc>
      </w:tr>
      <w:tr>
        <w:trPr>
          <w:trHeight w:val="863"/>
        </w:trPr>
        <w:tc>
          <w:tcPr>
            <w:tcW w:w="3540" w:type="dxa"/>
            <w:vAlign w:val="bottom"/>
          </w:tcPr>
          <w:p>
            <w:pPr>
              <w:spacing w:after="0"/>
              <w:rPr>
                <w:sz w:val="24"/>
                <w:szCs w:val="24"/>
                <w:color w:val="auto"/>
              </w:rPr>
            </w:pPr>
          </w:p>
        </w:tc>
        <w:tc>
          <w:tcPr>
            <w:tcW w:w="6840" w:type="dxa"/>
            <w:vAlign w:val="bottom"/>
          </w:tcPr>
          <w:p>
            <w:pPr>
              <w:jc w:val="right"/>
              <w:ind w:right="4630"/>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6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5760" w:type="dxa"/>
            <w:vAlign w:val="bottom"/>
            <w:gridSpan w:val="3"/>
          </w:tcPr>
          <w:p>
            <w:pPr>
              <w:spacing w:after="0"/>
              <w:rPr>
                <w:sz w:val="20"/>
                <w:szCs w:val="20"/>
                <w:color w:val="auto"/>
              </w:rPr>
            </w:pPr>
            <w:r>
              <w:rPr>
                <w:rFonts w:ascii="Arial" w:cs="Arial" w:eastAsia="Arial" w:hAnsi="Arial"/>
                <w:sz w:val="18"/>
                <w:szCs w:val="18"/>
                <w:color w:val="auto"/>
                <w:w w:val="97"/>
              </w:rPr>
              <w:t>6. GOODWILL AND OTHER INTANGIBLE ASSETS, NET (CONTINUED)</w:t>
            </w: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80" w:type="dxa"/>
            <w:vAlign w:val="bottom"/>
            <w:gridSpan w:val="4"/>
          </w:tcPr>
          <w:p>
            <w:pPr>
              <w:spacing w:after="0"/>
              <w:rPr>
                <w:sz w:val="20"/>
                <w:szCs w:val="20"/>
                <w:color w:val="auto"/>
              </w:rPr>
            </w:pPr>
            <w:r>
              <w:rPr>
                <w:rFonts w:ascii="Arial" w:cs="Arial" w:eastAsia="Arial" w:hAnsi="Arial"/>
                <w:sz w:val="18"/>
                <w:szCs w:val="18"/>
                <w:color w:val="auto"/>
              </w:rPr>
              <w:t>The changes in the carrying amount of goodwill by reportable segments are (in thousands):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ind w:left="1360"/>
              <w:spacing w:after="0"/>
              <w:rPr>
                <w:sz w:val="20"/>
                <w:szCs w:val="20"/>
                <w:color w:val="auto"/>
              </w:rPr>
            </w:pPr>
            <w:r>
              <w:rPr>
                <w:rFonts w:ascii="Arial" w:cs="Arial" w:eastAsia="Arial" w:hAnsi="Arial"/>
                <w:sz w:val="18"/>
                <w:szCs w:val="18"/>
                <w:color w:val="auto"/>
                <w:w w:val="88"/>
              </w:rPr>
              <w:t>Nine months ended June 30, 2023</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right"/>
              <w:ind w:right="870"/>
              <w:spacing w:after="0" w:line="169" w:lineRule="exact"/>
              <w:rPr>
                <w:sz w:val="20"/>
                <w:szCs w:val="20"/>
                <w:color w:val="auto"/>
              </w:rPr>
            </w:pPr>
            <w:r>
              <w:rPr>
                <w:rFonts w:ascii="Arial" w:cs="Arial" w:eastAsia="Arial" w:hAnsi="Arial"/>
                <w:sz w:val="18"/>
                <w:szCs w:val="18"/>
                <w:color w:val="auto"/>
              </w:rPr>
              <w:t>IoT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420"/>
              <w:spacing w:after="0" w:line="169" w:lineRule="exact"/>
              <w:rPr>
                <w:sz w:val="20"/>
                <w:szCs w:val="20"/>
                <w:color w:val="auto"/>
              </w:rPr>
            </w:pPr>
            <w:r>
              <w:rPr>
                <w:rFonts w:ascii="Arial" w:cs="Arial" w:eastAsia="Arial" w:hAnsi="Arial"/>
                <w:sz w:val="18"/>
                <w:szCs w:val="18"/>
                <w:color w:val="auto"/>
                <w:w w:val="99"/>
              </w:rPr>
              <w:t>IoT</w:t>
            </w:r>
          </w:p>
        </w:tc>
        <w:tc>
          <w:tcPr>
            <w:tcW w:w="360" w:type="dxa"/>
            <w:vAlign w:val="bottom"/>
          </w:tcPr>
          <w:p>
            <w:pPr>
              <w:spacing w:after="0"/>
              <w:rPr>
                <w:sz w:val="14"/>
                <w:szCs w:val="14"/>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color w:val="auto"/>
                <w:w w:val="94"/>
              </w:rPr>
              <w:t>Products &amp; Services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Solutions</w:t>
            </w:r>
          </w:p>
        </w:tc>
        <w:tc>
          <w:tcPr>
            <w:tcW w:w="3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on September 30, 2022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172,931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167,546</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340,477</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56"/>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on June 30, 2023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174,746</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167,546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342,292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IoT Products &amp; Services and IoT Solutions (see </w:t>
      </w:r>
      <w:r>
        <w:rPr>
          <w:rFonts w:ascii="Arial" w:cs="Arial" w:eastAsia="Arial" w:hAnsi="Arial"/>
          <w:sz w:val="17"/>
          <w:szCs w:val="17"/>
          <w:u w:val="single" w:color="auto"/>
          <w:color w:val="0000FF"/>
        </w:rPr>
        <w:t>Note 8</w:t>
      </w:r>
      <w:r>
        <w:rPr>
          <w:rFonts w:ascii="Arial" w:cs="Arial" w:eastAsia="Arial" w:hAnsi="Arial"/>
          <w:sz w:val="17"/>
          <w:szCs w:val="17"/>
          <w:color w:val="auto"/>
        </w:rPr>
        <w:t>). Our IoT Products &amp; Services segment is structured to include four reporting units, each with a reporting manager: Cellular Routers, Console Servers, OEM Solutions and Infrastructure Management. Following our acquisition of Ventus in November 2021, we have two reporting units within IoT Solutions: SmartSense and Ventus. Each of these segments was tested individually for impairment during our annual impairment test completed in the third fiscal quarter of fiscal 2023.</w:t>
      </w:r>
    </w:p>
    <w:p>
      <w:pPr>
        <w:spacing w:after="0" w:line="20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affect the estimated fair values negatively. 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our Fiscal 2023 Annual Impairment Test</w:t>
      </w:r>
    </w:p>
    <w:p>
      <w:pPr>
        <w:spacing w:after="0" w:line="19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of June 30, 2023, we had a total of $32.7 million of goodwill for the Enterprise Routers reporting unit, $57.1 million of goodwill for the Console Servers reporting unit, $64.6 million of goodwill for the OEM Solutions reporting unit, $20.4 million of goodwill for the Infrastructure Management reporting unit, $48.9 million of goodwill for the SmartSense reporting unit and $118.6 million of goodwill for the Ventus reporting unit. At June 30, 2023, the fair value of goodwill exceeded the carrying value for all six reporting units and no impairment was recorded.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 INDEBTEDNESS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1, 2021, we entered into a second amended and restated credit agreement with BMO Harris Bank N.A. ("BMO"). This agreement provides us with a senior secured credit facility (the "Credit Facility") consisting of a $350 million term loan B secured loan (the “Term Loan Facility”) and a $35 million revolving credit facility (the “Revolving Loan Facility”) with an uncommitted option to increase incremental loans under the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a committed credit facility ("Prior Credit Facility") consisting of a $200 million revolving loan.</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7. INDEBTEDNESS (CONTINUED)</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Following the December amendment,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0.50%, or the one-month LIBOR for U.S. dollars plus 1.00%. The applicable margin for loans under the Revolving Credit Facility is in a range of 4.00% to 3.75% for LIBOR loans and 3.00% to 2.75% for base rate loans, depending on Digi’s consolidated leverage ratio. In addition to paying interest on the outstanding balance under the Credit Facility, we are required to pay a commitment fee on the non-utilized commitments thereunder, which is also reported in interest expense. Digi elected an interest period of one month for the months of December 2021 through April 2022 and a period of six months effective May 1, 2022. Following the expiration of the election on October 31, 2022, Digi elected an interest period of one month, effective on November 1, 2022 and has elected the same periods each subsequent month. Following the discontinuation of LIBOR on June 30, 2023, borrowings under the Term Loan Facility will be subject to the Secured Overnight Financing Rate (SOFR). Our weighted average interest rate for our Term Loan Facility as of June 30, 2023 was 10.16%. Our weighted average Revolving Loan Facility commitment fee was 0.20% as of June 30, 2023.</w:t>
      </w:r>
    </w:p>
    <w:p>
      <w:pPr>
        <w:spacing w:after="0" w:line="13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2021 and December 22, 2021 amendments, respectively. These amounts are being amortized over the term of the amended loan and reported in interest expense.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Term Loan is payable in quarterly installments, with the balance remaining due on November 2, 2028. The Revolving Loan is due in a lump sum payment at maturity on November 2, 2028, if any amounts are drawn. The fair value of the Term Loan and Revolving Loan approximated carrying value at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Digi made early payments against the term loan of $16.3 million and $81.3 million in nine months ended June 30, 2023 and 2022,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indebtedness at June 30, 2023 and September 30, 2022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unamortized issuance costs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 current maturities of long-term debt</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long-term debt, net of current portion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8"/>
                <w:szCs w:val="18"/>
                <w:color w:val="auto"/>
              </w:rPr>
            </w:pPr>
          </w:p>
        </w:tc>
        <w:tc>
          <w:tcPr>
            <w:tcW w:w="2040" w:type="dxa"/>
            <w:vAlign w:val="bottom"/>
            <w:vMerge w:val="restart"/>
          </w:tcPr>
          <w:p>
            <w:pPr>
              <w:ind w:left="20"/>
              <w:spacing w:after="0"/>
              <w:rPr>
                <w:sz w:val="20"/>
                <w:szCs w:val="20"/>
                <w:color w:val="auto"/>
              </w:rPr>
            </w:pPr>
            <w:r>
              <w:rPr>
                <w:rFonts w:ascii="Arial" w:cs="Arial" w:eastAsia="Arial" w:hAnsi="Arial"/>
                <w:sz w:val="18"/>
                <w:szCs w:val="18"/>
                <w:color w:val="auto"/>
                <w:w w:val="95"/>
              </w:rPr>
              <w:t>Balance on June 30, 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w w:val="94"/>
              </w:rPr>
              <w:t>Balance on September 30,</w:t>
            </w: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ind w:left="1380"/>
              <w:spacing w:after="0"/>
              <w:rPr>
                <w:sz w:val="20"/>
                <w:szCs w:val="20"/>
                <w:color w:val="auto"/>
              </w:rPr>
            </w:pPr>
            <w:r>
              <w:rPr>
                <w:rFonts w:ascii="Arial" w:cs="Arial" w:eastAsia="Arial" w:hAnsi="Arial"/>
                <w:sz w:val="18"/>
                <w:szCs w:val="18"/>
                <w:color w:val="auto"/>
                <w:w w:val="98"/>
              </w:rPr>
              <w:t>220,625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ind w:left="14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40" w:type="dxa"/>
            <w:vAlign w:val="bottom"/>
          </w:tcPr>
          <w:p>
            <w:pPr>
              <w:ind w:left="1400"/>
              <w:spacing w:after="0"/>
              <w:rPr>
                <w:sz w:val="20"/>
                <w:szCs w:val="20"/>
                <w:color w:val="auto"/>
              </w:rPr>
            </w:pPr>
            <w:r>
              <w:rPr>
                <w:rFonts w:ascii="Arial" w:cs="Arial" w:eastAsia="Arial" w:hAnsi="Arial"/>
                <w:sz w:val="18"/>
                <w:szCs w:val="18"/>
                <w:color w:val="auto"/>
                <w:w w:val="92"/>
              </w:rPr>
              <w:t>(10,546)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ind w:left="1420"/>
              <w:spacing w:after="0"/>
              <w:rPr>
                <w:sz w:val="20"/>
                <w:szCs w:val="20"/>
                <w:color w:val="auto"/>
              </w:rPr>
            </w:pPr>
            <w:r>
              <w:rPr>
                <w:rFonts w:ascii="Arial" w:cs="Arial" w:eastAsia="Arial" w:hAnsi="Arial"/>
                <w:sz w:val="18"/>
                <w:szCs w:val="18"/>
                <w:color w:val="auto"/>
                <w:w w:val="92"/>
              </w:rPr>
              <w:t>(12,029)</w:t>
            </w:r>
          </w:p>
        </w:tc>
        <w:tc>
          <w:tcPr>
            <w:tcW w:w="0" w:type="dxa"/>
            <w:vAlign w:val="bottom"/>
          </w:tcPr>
          <w:p>
            <w:pPr>
              <w:spacing w:after="0"/>
              <w:rPr>
                <w:sz w:val="1"/>
                <w:szCs w:val="1"/>
                <w:color w:val="auto"/>
              </w:rPr>
            </w:pPr>
          </w:p>
        </w:tc>
      </w:tr>
      <w:tr>
        <w:trPr>
          <w:trHeight w:val="237"/>
        </w:trPr>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2"/>
              </w:rPr>
              <w:t>(15,523)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92"/>
              </w:rPr>
              <w:t>(15,523)</w:t>
            </w: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98"/>
              </w:rPr>
              <w:t>194,556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8"/>
              </w:rPr>
              <w:t>222,448</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-642620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-342265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460"/>
          </w:cols>
          <w:pgMar w:left="320" w:top="125" w:right="339" w:bottom="1440" w:gutter="0" w:footer="0" w:header="0"/>
          <w:type w:val="continuous"/>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w w:val="94"/>
              </w:rPr>
              <w:t>The following table is a summary of future maturities of our aggregate long-term debt at June 30, 2023 (in thousands):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99"/>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(three months)</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3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4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146,250</w:t>
            </w:r>
          </w:p>
        </w:tc>
      </w:tr>
      <w:tr>
        <w:trPr>
          <w:trHeight w:val="24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220,625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Security Interest</w:t>
      </w:r>
    </w:p>
    <w:p>
      <w:pPr>
        <w:spacing w:after="0" w:line="18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agreements governing the Revolving Loan Facility contain a number of covenants. Among other provisions, these covenants require us to maintain a certain financial ratio (net leverage ratio and minimum fixed charge ratio). At June 30, 2023, we had no amounts drawn on the Revolving Loan Facility. Amounts borrowed under the Credit Facility are secured by substantially all of our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8. SEGMENT INFORMATION</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two reportable segments: IoT Products &amp; Services and IoT Solutions. IoT Products &amp; Services is structured to include four operating segments, each with a segment manager. These four operating segments are:</w:t>
      </w:r>
    </w:p>
    <w:p>
      <w:pPr>
        <w:spacing w:after="0" w:line="143" w:lineRule="exact"/>
        <w:rPr>
          <w:sz w:val="20"/>
          <w:szCs w:val="20"/>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Cellular Routers - box devices (fully enclosed) that provide connectivity typically in a place where the device can be plugged in exclusively using cellular communications;</w:t>
      </w:r>
    </w:p>
    <w:p>
      <w:pPr>
        <w:spacing w:after="0" w:line="129"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Console Servers - similar to cellular routers except they are exclusively for edge computing installations and data center applications (also exclusively using cellular communications);</w:t>
      </w:r>
    </w:p>
    <w:p>
      <w:pPr>
        <w:spacing w:after="0" w:line="129"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OEM Solutions - Original Equipment Manufacturers ("OEM") will be a chip, rather than a boxed device. This can come in the form of a stand-alone module or from a systems-on-module ("SOM"). While cellular connectivity is used, other communication protocols can be used such as Zigbee, Bluetooth or Radio-Frequency ("RF") based on application; and</w:t>
      </w:r>
    </w:p>
    <w:p>
      <w:pPr>
        <w:spacing w:after="0" w:line="156"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acquisition of Ventus on November 1, 2021, IoT Solutions is now comprised of two operating segments:</w:t>
      </w:r>
    </w:p>
    <w:p>
      <w:pPr>
        <w:spacing w:after="0" w:line="185" w:lineRule="exact"/>
        <w:rPr>
          <w:sz w:val="20"/>
          <w:szCs w:val="20"/>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SmartSense - offers wireless temperature and other condition-based monitoring services for perishable goods such as food or medicine, as well as employee task management services.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Ventus - provides Managed Network-as-a-Service ("MNaaS") solutions that simplify the complexity of enterprise wide area network ("WAN") connectivity via wireless and fixed line solutions.</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CEO is our Chief Operating Decision Maker and reviews and makes business decisions using consolidated information including operating income and gross profit.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Summary operating results for each of our segments were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60" w:type="dxa"/>
            <w:vAlign w:val="bottom"/>
            <w:gridSpan w:val="5"/>
          </w:tcPr>
          <w:p>
            <w:pPr>
              <w:ind w:left="280"/>
              <w:spacing w:after="0"/>
              <w:rPr>
                <w:sz w:val="20"/>
                <w:szCs w:val="20"/>
                <w:color w:val="auto"/>
              </w:rPr>
            </w:pPr>
            <w:r>
              <w:rPr>
                <w:rFonts w:ascii="Arial" w:cs="Arial" w:eastAsia="Arial" w:hAnsi="Arial"/>
                <w:sz w:val="18"/>
                <w:szCs w:val="18"/>
                <w:color w:val="auto"/>
              </w:rPr>
              <w:t>Nine months ended June 30,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IoT Products &amp; Services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87,358</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79,758</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257,593</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IoT Solutions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24,878</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112,236</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103,517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332,686</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IoT Products &amp; Services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47,229</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42,643</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140,367</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IoT Solutions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16,590</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63,819</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0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IoT Products &amp; Services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IoT Solutions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income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0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IoT Products &amp; Services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IoT Solutions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966"/>
        </w:trPr>
        <w:tc>
          <w:tcPr>
            <w:tcW w:w="7820" w:type="dxa"/>
            <w:vAlign w:val="bottom"/>
            <w:gridSpan w:val="3"/>
          </w:tcPr>
          <w:p>
            <w:pPr>
              <w:spacing w:after="0"/>
              <w:rPr>
                <w:sz w:val="20"/>
                <w:szCs w:val="20"/>
                <w:color w:val="auto"/>
              </w:rPr>
            </w:pPr>
            <w:r>
              <w:rPr>
                <w:rFonts w:ascii="Arial" w:cs="Arial" w:eastAsia="Arial" w:hAnsi="Arial"/>
                <w:sz w:val="18"/>
                <w:szCs w:val="18"/>
                <w:color w:val="auto"/>
              </w:rPr>
              <w:t>8. SEGMENT INFORMATION (CONTINUED)</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7820" w:type="dxa"/>
            <w:vAlign w:val="bottom"/>
            <w:gridSpan w:val="3"/>
          </w:tcPr>
          <w:p>
            <w:pPr>
              <w:spacing w:after="0"/>
              <w:rPr>
                <w:sz w:val="20"/>
                <w:szCs w:val="20"/>
                <w:color w:val="auto"/>
              </w:rPr>
            </w:pPr>
            <w:r>
              <w:rPr>
                <w:rFonts w:ascii="Arial" w:cs="Arial" w:eastAsia="Arial" w:hAnsi="Arial"/>
                <w:sz w:val="18"/>
                <w:szCs w:val="18"/>
                <w:color w:val="auto"/>
              </w:rPr>
              <w:t>Total expended for property, plant and equipment was (in thousands):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Nine months ended June 30,</w:t>
            </w:r>
          </w:p>
        </w:tc>
        <w:tc>
          <w:tcPr>
            <w:tcW w:w="540" w:type="dxa"/>
            <w:vAlign w:val="bottom"/>
            <w:tcBorders>
              <w:bottom w:val="single" w:sz="8" w:color="auto"/>
            </w:tcBorders>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IoT Products &amp; Services</w:t>
            </w: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43"/>
        </w:trPr>
        <w:tc>
          <w:tcPr>
            <w:tcW w:w="20" w:type="dxa"/>
            <w:vAlign w:val="bottom"/>
          </w:tcPr>
          <w:p>
            <w:pPr>
              <w:spacing w:after="0"/>
              <w:rPr>
                <w:sz w:val="21"/>
                <w:szCs w:val="21"/>
                <w:color w:val="auto"/>
              </w:rPr>
            </w:pPr>
          </w:p>
        </w:tc>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IoT Solutions*</w:t>
            </w:r>
          </w:p>
        </w:tc>
        <w:tc>
          <w:tcPr>
            <w:tcW w:w="1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r>
      <w:tr>
        <w:trPr>
          <w:trHeight w:val="248"/>
        </w:trPr>
        <w:tc>
          <w:tcPr>
            <w:tcW w:w="2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expended for property, plant and equipment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600" w:firstLine="8"/>
        <w:spacing w:after="0" w:line="273" w:lineRule="auto"/>
        <w:tabs>
          <w:tab w:leader="none" w:pos="108"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Excluded from these amounts are $3,175 and $1,742 of transfers of inventory to property plant and equipment for subscriber assets for the nine months ended June 30, 2023 and 2022,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Total assets for each of our segments were (in thousands):</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6"/>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w w:val="94"/>
              </w:rPr>
              <w:t>September 30,</w:t>
            </w:r>
          </w:p>
        </w:tc>
      </w:tr>
      <w:tr>
        <w:trPr>
          <w:trHeight w:val="230"/>
        </w:trPr>
        <w:tc>
          <w:tcPr>
            <w:tcW w:w="20" w:type="dxa"/>
            <w:vAlign w:val="bottom"/>
          </w:tcPr>
          <w:p>
            <w:pPr>
              <w:spacing w:after="0"/>
              <w:rPr>
                <w:sz w:val="20"/>
                <w:szCs w:val="20"/>
                <w:color w:val="auto"/>
              </w:rPr>
            </w:pPr>
          </w:p>
        </w:tc>
        <w:tc>
          <w:tcPr>
            <w:tcW w:w="78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IoT Products &amp; Services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390,128</w:t>
            </w:r>
          </w:p>
        </w:tc>
      </w:tr>
      <w:tr>
        <w:trPr>
          <w:trHeight w:val="237"/>
        </w:trPr>
        <w:tc>
          <w:tcPr>
            <w:tcW w:w="20" w:type="dxa"/>
            <w:vAlign w:val="bottom"/>
          </w:tcPr>
          <w:p>
            <w:pPr>
              <w:spacing w:after="0"/>
              <w:rPr>
                <w:sz w:val="20"/>
                <w:szCs w:val="20"/>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IoT Solutions</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428,867</w:t>
            </w:r>
          </w:p>
        </w:tc>
      </w:tr>
      <w:tr>
        <w:trPr>
          <w:trHeight w:val="236"/>
        </w:trPr>
        <w:tc>
          <w:tcPr>
            <w:tcW w:w="20" w:type="dxa"/>
            <w:vAlign w:val="bottom"/>
          </w:tcPr>
          <w:p>
            <w:pPr>
              <w:spacing w:after="0"/>
              <w:rPr>
                <w:sz w:val="20"/>
                <w:szCs w:val="20"/>
                <w:color w:val="auto"/>
              </w:rPr>
            </w:pPr>
          </w:p>
        </w:tc>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Unallocated*</w:t>
            </w:r>
          </w:p>
        </w:tc>
        <w:tc>
          <w:tcPr>
            <w:tcW w:w="3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34,900</w:t>
            </w:r>
          </w:p>
        </w:tc>
      </w:tr>
      <w:tr>
        <w:trPr>
          <w:trHeight w:val="223"/>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853,895</w:t>
            </w:r>
          </w:p>
        </w:tc>
      </w:tr>
      <w:tr>
        <w:trPr>
          <w:trHeight w:val="21"/>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*Unallocated consists of cash and cash equivalents.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9.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geographic location of our customers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w w:val="99"/>
              </w:rPr>
              <w:t>Nine months ended June 30,</w:t>
            </w:r>
          </w:p>
        </w:tc>
      </w:tr>
      <w:tr>
        <w:trPr>
          <w:trHeight w:val="230"/>
        </w:trPr>
        <w:tc>
          <w:tcPr>
            <w:tcW w:w="4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2022</w:t>
            </w: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primarily the United States</w:t>
            </w: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82,953</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223,315</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Europe, Middle East &amp; Africa</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16,352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37,139</w:t>
            </w:r>
          </w:p>
        </w:tc>
      </w:tr>
      <w:tr>
        <w:trPr>
          <w:trHeight w:val="24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0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12,931</w:t>
            </w:r>
          </w:p>
        </w:tc>
        <w:tc>
          <w:tcPr>
            <w:tcW w:w="1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22,033</w:t>
            </w:r>
          </w:p>
        </w:tc>
      </w:tr>
      <w:tr>
        <w:trPr>
          <w:trHeight w:val="223"/>
        </w:trPr>
        <w:tc>
          <w:tcPr>
            <w:tcW w:w="426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112,236</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103,517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282,487</w:t>
            </w:r>
          </w:p>
        </w:tc>
      </w:tr>
      <w:tr>
        <w:trPr>
          <w:trHeight w:val="20"/>
        </w:trPr>
        <w:tc>
          <w:tcPr>
            <w:tcW w:w="4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the timing of revenue recognition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w w:val="99"/>
              </w:rPr>
              <w:t>Nine months ended June 30,</w:t>
            </w:r>
          </w:p>
        </w:tc>
      </w:tr>
      <w:tr>
        <w:trPr>
          <w:trHeight w:val="230"/>
        </w:trPr>
        <w:tc>
          <w:tcPr>
            <w:tcW w:w="4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2022</w:t>
            </w: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 in time</w:t>
            </w: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86,393</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220,049</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25,843</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62,438</w:t>
            </w:r>
          </w:p>
        </w:tc>
      </w:tr>
      <w:tr>
        <w:trPr>
          <w:trHeight w:val="257"/>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112,236</w:t>
            </w:r>
          </w:p>
        </w:tc>
        <w:tc>
          <w:tcPr>
            <w:tcW w:w="12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103,517</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332,686</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Related Assets</w:t>
      </w:r>
    </w:p>
    <w:p>
      <w:pPr>
        <w:spacing w:after="0" w:line="18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$16.9 million and $16.5 million as of June 30, 2023 and September 30, 2022, respectively, are included in property, equipment and improvements, net. Depreciation expense for these subscriber assets, which is included in cost of sales, was $1.0 million and $0.4 million for the three months ended June 30, 2023 and 2022, respectively. Depreciation expense for these subscriber assets was $2.8 million and $2.3 million for the nine months ended June 30, 2023 and 2022, respectively. We depreciate the cost of this equipment over its useful life.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9. REVENUE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Contract assets at Digi consist of products and services that have been fulfilled, but for which revenue has not yet been recognized. Our contract asset balances were immaterial as of June 30, 2023 and September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8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timing of revenue recognition may differ from the timing of invoicing to customers. Customers are invoiced for subscription services on a monthly, quarterly or annual basis. Contract liabilities consist of unearned revenue related to annual or multi-year contracts for subscription services and related implementation fees, as well as product sales that have been invoiced, but not yet fulfilled.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contract liabilities were $26.5 million and $22.6 million at June 30, 2023 and 2022, respectively.</w:t>
      </w:r>
    </w:p>
    <w:p>
      <w:pPr>
        <w:spacing w:after="0" w:line="19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Of the $25.7 million and $24.8 million balances as of March 31, 2023 and 2022, Digi recognized $6.7 million and $5.4 million as revenue in the three months ended June 30, 2023 and 2022, respectively. Of the $21.6 million and $15.5 million balances as of September 30, 2022 and 2021, Digi recognized $18.9 million and $12.0 million as revenue in the nine months ended June 30, 2023 and 2022,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June 30, 2023, we had approximately $154.7 million of remaining performance obligations on contracts with an original duration of one year or more. We expect to recognize revenue on approximately $67.3 million of remaining performance obligations over the next 12 months. Revenue from the remaining performance obligations we expect to recognize over a range of two to five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10. INCOME TAXES</w:t>
      </w:r>
    </w:p>
    <w:p>
      <w:pPr>
        <w:spacing w:after="0" w:line="18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income tax benefit was $0.7 million for the nine months ended June 30, 2023. Included in this was a net tax benefit discretely related to the nine months ended June 30, 2023 of $2.9 million. This benefit primarily was the result of excess tax benefits recognized on stock compensation.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tax rate will vary based on a variety of factors. These factors include our overall profitability, the geographical mix of income before taxes and related statutory tax rate in each jurisdiction, and tax items discretely related to the period, such as settlements of audits. We may record other benefits or expenses in the future that are specific to a particular quarter such as expiration of statutes of limitation, the completion of tax audits, or legislation that is enacted in both U.S. and foreign jurisdictions.</w:t>
      </w:r>
    </w:p>
    <w:p>
      <w:pPr>
        <w:sectPr>
          <w:pgSz w:w="11900" w:h="16838" w:orient="portrait"/>
          <w:cols w:equalWidth="0" w:num="1">
            <w:col w:w="11240"/>
          </w:cols>
          <w:pgMar w:left="320" w:top="125" w:right="3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 of unrecognized tax benefits is (in thousands):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tax benefits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2343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Decreases related to:</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Expiration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2343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Prior year income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234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tax benefits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744" w:hanging="744"/>
        <w:spacing w:after="0"/>
        <w:tabs>
          <w:tab w:leader="none" w:pos="744" w:val="left"/>
        </w:tabs>
        <w:numPr>
          <w:ilvl w:val="0"/>
          <w:numId w:val="9"/>
        </w:numPr>
        <w:rPr>
          <w:rFonts w:ascii="Arial" w:cs="Arial" w:eastAsia="Arial" w:hAnsi="Arial"/>
          <w:sz w:val="18"/>
          <w:szCs w:val="18"/>
          <w:color w:val="auto"/>
        </w:rPr>
      </w:pPr>
      <w:r>
        <w:rPr>
          <w:rFonts w:ascii="Arial" w:cs="Arial" w:eastAsia="Arial" w:hAnsi="Arial"/>
          <w:sz w:val="18"/>
          <w:szCs w:val="18"/>
          <w:color w:val="auto"/>
        </w:rPr>
        <w:t>3,316</w:t>
      </w:r>
    </w:p>
    <w:p>
      <w:pPr>
        <w:spacing w:after="0" w:line="26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(649)</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886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 w:lineRule="exact"/>
        <w:rPr>
          <w:sz w:val="20"/>
          <w:szCs w:val="20"/>
          <w:color w:val="auto"/>
        </w:rPr>
      </w:pPr>
    </w:p>
    <w:p>
      <w:pPr>
        <w:ind w:left="744" w:hanging="744"/>
        <w:spacing w:after="0"/>
        <w:tabs>
          <w:tab w:leader="none" w:pos="7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2,767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88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76" w:space="720"/>
            <w:col w:w="1244"/>
          </w:cols>
          <w:pgMar w:left="320" w:top="125" w:right="339" w:bottom="1440" w:gutter="0" w:footer="0" w:header="0"/>
          <w:type w:val="continuous"/>
        </w:sectPr>
      </w:pPr>
    </w:p>
    <w:p>
      <w:pPr>
        <w:spacing w:after="0" w:line="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total amount of unrecognized tax benefits at June 30, 2023 that, if recognized, would affect our effective tax rate was $2.7 million, after considering the impact of interest and deferred benefit items. We expect that the total amount of unrecognized tax benefits will decrease by approximately $0.3 million over the next 12 months.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11. PRODUCT WARRANTY OBLIGATION</w:t>
      </w:r>
    </w:p>
    <w:p>
      <w:pPr>
        <w:spacing w:after="0" w:line="185"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following tables summarize the activity associated with the product warranty accrual (in thousands) and is included on our condensed consolidated balance sheets within other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Balance at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7"/>
              </w:rPr>
              <w:t>Warranties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8"/>
              </w:rPr>
              <w:t>Settlements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9"/>
              </w:rPr>
              <w:t>Balance at</w:t>
            </w:r>
          </w:p>
        </w:tc>
      </w:tr>
      <w:tr>
        <w:trPr>
          <w:trHeight w:val="24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w:t>
            </w:r>
          </w:p>
        </w:tc>
        <w:tc>
          <w:tcPr>
            <w:tcW w:w="1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March 31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issued</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made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June 30</w:t>
            </w: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Three months ended June 30, 2022</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539"/>
        </w:trPr>
        <w:tc>
          <w:tcPr>
            <w:tcW w:w="3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Balance at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7"/>
              </w:rPr>
              <w:t>Warranties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8"/>
              </w:rPr>
              <w:t>Settlements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9"/>
              </w:rPr>
              <w:t>Balance at</w:t>
            </w:r>
          </w:p>
        </w:tc>
      </w:tr>
      <w:tr>
        <w:trPr>
          <w:trHeight w:val="24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w:t>
            </w:r>
          </w:p>
        </w:tc>
        <w:tc>
          <w:tcPr>
            <w:tcW w:w="1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September 30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issued</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made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June 30</w:t>
            </w: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June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Nine months ended June 30, 2022</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752</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12. LEASES</w:t>
      </w:r>
    </w:p>
    <w:p>
      <w:pPr>
        <w:spacing w:after="0" w:line="18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spacing w:after="0" w:line="16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supplemental balance sheet information related to our leases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Balance Sheet Location</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color w:val="auto"/>
              </w:rPr>
              <w:t>June 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September 30,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assets</w:t>
            </w:r>
          </w:p>
        </w:tc>
        <w:tc>
          <w:tcPr>
            <w:tcW w:w="3240" w:type="dxa"/>
            <w:vAlign w:val="bottom"/>
            <w:shd w:val="clear" w:color="auto" w:fill="CCEEFF"/>
          </w:tcPr>
          <w:p>
            <w:pPr>
              <w:spacing w:after="0"/>
              <w:rPr>
                <w:sz w:val="21"/>
                <w:szCs w:val="21"/>
                <w:color w:val="auto"/>
              </w:rPr>
            </w:pPr>
          </w:p>
        </w:tc>
        <w:tc>
          <w:tcPr>
            <w:tcW w:w="21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240" w:type="dxa"/>
            <w:vAlign w:val="bottom"/>
          </w:tcPr>
          <w:p>
            <w:pPr>
              <w:ind w:left="20"/>
              <w:spacing w:after="0"/>
              <w:rPr>
                <w:sz w:val="20"/>
                <w:szCs w:val="20"/>
                <w:color w:val="auto"/>
              </w:rPr>
            </w:pPr>
            <w:r>
              <w:rPr>
                <w:rFonts w:ascii="Arial" w:cs="Arial" w:eastAsia="Arial" w:hAnsi="Arial"/>
                <w:sz w:val="18"/>
                <w:szCs w:val="18"/>
                <w:color w:val="auto"/>
                <w:w w:val="93"/>
              </w:rPr>
              <w:t>Current portion of operating lease liabilities</w:t>
            </w:r>
          </w:p>
        </w:tc>
        <w:tc>
          <w:tcPr>
            <w:tcW w:w="21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3,431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20" w:type="dxa"/>
            <w:vAlign w:val="bottom"/>
          </w:tcPr>
          <w:p>
            <w:pPr>
              <w:ind w:left="140"/>
              <w:spacing w:after="0"/>
              <w:rPr>
                <w:sz w:val="20"/>
                <w:szCs w:val="20"/>
                <w:color w:val="auto"/>
              </w:rPr>
            </w:pPr>
            <w:r>
              <w:rPr>
                <w:rFonts w:ascii="Arial" w:cs="Arial" w:eastAsia="Arial" w:hAnsi="Arial"/>
                <w:sz w:val="18"/>
                <w:szCs w:val="18"/>
                <w:color w:val="auto"/>
              </w:rPr>
              <w:t>Total lease liabilities</w:t>
            </w:r>
          </w:p>
        </w:tc>
        <w:tc>
          <w:tcPr>
            <w:tcW w:w="3240" w:type="dxa"/>
            <w:vAlign w:val="bottom"/>
          </w:tcPr>
          <w:p>
            <w:pPr>
              <w:spacing w:after="0"/>
              <w:rPr>
                <w:sz w:val="20"/>
                <w:szCs w:val="20"/>
                <w:color w:val="auto"/>
              </w:rPr>
            </w:pPr>
          </w:p>
        </w:tc>
        <w:tc>
          <w:tcPr>
            <w:tcW w:w="21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18,224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20,174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20" w:type="dxa"/>
            <w:vAlign w:val="bottom"/>
            <w:vMerge w:val="restart"/>
          </w:tcPr>
          <w:p>
            <w:pPr>
              <w:jc w:val="right"/>
              <w:ind w:right="13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12. LEASES (CONTINUED)</w:t>
      </w:r>
    </w:p>
    <w:p>
      <w:pPr>
        <w:spacing w:after="0" w:line="19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were the components of our lease cost which is recorded in both cost of goods sold and selling, general and administrative expense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w w:val="99"/>
              </w:rPr>
              <w:t>Nine months ended June 30,</w:t>
            </w:r>
          </w:p>
        </w:tc>
      </w:tr>
      <w:tr>
        <w:trPr>
          <w:trHeight w:val="229"/>
        </w:trPr>
        <w:tc>
          <w:tcPr>
            <w:tcW w:w="4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3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468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1,294</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w:t>
            </w:r>
          </w:p>
        </w:tc>
      </w:tr>
      <w:tr>
        <w:trPr>
          <w:trHeight w:val="21"/>
        </w:trPr>
        <w:tc>
          <w:tcPr>
            <w:tcW w:w="4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November 2021, Digi acquired $0.9 million in right of-use assets and assumed $0.9 million in lease liabilities from the acquisition of Ventus that are included in the balances at June 30, 2022. Digi acquired $0.1 million and $0.3 million in right-of-use assets in exchange for new operating lease liabilities in the three and nine months ended June 30, 2023, respectively.</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June 30, 2023, the weighted average remaining lease term of our operating leases was 6.7 years and the weighted average discount rate for these leases was 4.4%.</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as well as all the remaining years to the operating lease liabilities recorded on the condensed consolidated balance sheet as of June 30, 2023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Amount</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(three months)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4,007</w:t>
            </w:r>
          </w:p>
        </w:tc>
      </w:tr>
      <w:tr>
        <w:trPr>
          <w:trHeight w:val="24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3,114</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37"/>
        </w:trPr>
        <w:tc>
          <w:tcPr>
            <w:tcW w:w="910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36"/>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Total future undiscounted lease payments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21,432</w:t>
            </w:r>
          </w:p>
        </w:tc>
      </w:tr>
      <w:tr>
        <w:trPr>
          <w:trHeight w:val="24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Total reported lease liability</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18,224</w:t>
            </w:r>
          </w:p>
        </w:tc>
      </w:tr>
      <w:tr>
        <w:trPr>
          <w:trHeight w:val="20"/>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13. COMMITMENTS AND CONTINGENCIES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We lease certain of our buildings and equipment under non-cancelable lease agreements. Please refer to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to our condensed consolidated financial statements for additional information.</w:t>
      </w:r>
    </w:p>
    <w:p>
      <w:pPr>
        <w:spacing w:after="0" w:line="1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normal course of business, we presently are, and expect in the future to be, subject to various claims and litigation with third parties such as non-practicing intellectual property entities as well as customers, vendors, competitors and/or former employees. There can be no assurance that any claims by third parties, if proven to have merit, will not materially adversely affect our business, liquidity or financial condition. In addition, the costs associated with defending ourselves in litigation may be significant regardless of whether the claim has merit.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Stock-based awards granted in the first fiscal quarter of 2023 were granted under the amended and restated 2021 Omnibus Incentive Plan (the "2021 Plan"). Such awards made in the first quarter of fiscal 2022 were granted under the 2021 Plan before it was amended and restated at our annual meeting in January, 2022.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there were approximately 2,325,333 shares available for future grants under the 2021 Plan.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Cash received from the exercise of stock options was $2.6 million and $6.7 million for the nine months ended June 30, 2023 and 2022, respectively.</w:t>
      </w:r>
    </w:p>
    <w:p>
      <w:pPr>
        <w:spacing w:after="0" w:line="19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nine months ended June 30, 2023 and 2022, our employees forfeited 97,171 shares and 96,860 shares, respectively, in order to satisfy respective withholding tax obligations of $3.9 million and $2.2 million, respectively.</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$1.7 million and $1.1 million for the nine months ended June 30, 2023 and 2022, respectively. Pursuant to the ESPP, 58,081 and 60,481 common shares were issued to employees during the nine months ended June 30, 2023 and 2022, respectively. Shares are issued under the ESPP from treasury stock. As of June 30, 2023, 494,767 common shares were available for future issuances under the ESPP.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stock-based compensation expense that is included in the consolidated results of operations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w w:val="97"/>
              </w:rPr>
              <w:t>Nine months ended June 30,</w:t>
            </w:r>
          </w:p>
        </w:tc>
      </w:tr>
      <w:tr>
        <w:trPr>
          <w:trHeight w:val="223"/>
        </w:trPr>
        <w:tc>
          <w:tcPr>
            <w:tcW w:w="48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1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1,089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1,801</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1,106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w:t>
            </w:r>
          </w:p>
        </w:tc>
      </w:tr>
      <w:tr>
        <w:trPr>
          <w:trHeight w:val="223"/>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before income taxes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r>
      <w:tr>
        <w:trPr>
          <w:trHeight w:val="256"/>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after income taxes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2,759</w:t>
            </w:r>
          </w:p>
        </w:tc>
        <w:tc>
          <w:tcPr>
            <w:tcW w:w="11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option activity (in thousands, except per common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8"/>
                <w:szCs w:val="18"/>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color w:val="auto"/>
                <w:w w:val="94"/>
              </w:rPr>
              <w:t>Weighted Average</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Weighted 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3"/>
              </w:rPr>
              <w:t>Aggregate</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Contractual Term (in</w:t>
            </w:r>
          </w:p>
        </w:tc>
        <w:tc>
          <w:tcPr>
            <w:tcW w:w="120" w:type="dxa"/>
            <w:vAlign w:val="bottom"/>
          </w:tcPr>
          <w:p>
            <w:pPr>
              <w:spacing w:after="0"/>
              <w:rPr>
                <w:sz w:val="15"/>
                <w:szCs w:val="15"/>
                <w:color w:val="auto"/>
              </w:rPr>
            </w:pP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Intrinsic Value</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Outstanding</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Exercise Price</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years)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on September 30, 2022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 Canceled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on June 30, 2023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on June 30, 2023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60" w:firstLine="8"/>
        <w:spacing w:after="0" w:line="277" w:lineRule="auto"/>
        <w:tabs>
          <w:tab w:leader="none" w:pos="2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based on our closing stock price of $39.39 as of June 30, 2023, which would have been received by the option holders had all option holders exercised their options as of that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14. STOCK-BASED COMPENSATION (CONTINUED)</w:t>
      </w:r>
    </w:p>
    <w:p>
      <w:pPr>
        <w:spacing w:after="0" w:line="19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intrinsic value of an option is the amount by which the fair value of the underlying stock exceeds its exercise price. The total intrinsic value of all options exercised during the nine months ended June 30, 2023 and 2022 was $4.1 million and $15.6 million,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weighted average fair value, which was determined based upon the fair value of each option on the grant date utilizing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and the related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p>
        </w:tc>
        <w:tc>
          <w:tcPr>
            <w:tcW w:w="37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rPr>
              <w:t>Nine months ended June 30,</w:t>
            </w:r>
          </w:p>
        </w:tc>
      </w:tr>
      <w:tr>
        <w:trPr>
          <w:trHeight w:val="223"/>
        </w:trPr>
        <w:tc>
          <w:tcPr>
            <w:tcW w:w="75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14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r>
      <w:tr>
        <w:trPr>
          <w:trHeight w:val="237"/>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per option grant date fair value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$19.88</w:t>
            </w:r>
          </w:p>
        </w:tc>
        <w:tc>
          <w:tcPr>
            <w:tcW w:w="1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$10.03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Assumptions used for option grants:</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free interest rate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 - 3.98%</w:t>
            </w:r>
          </w:p>
        </w:tc>
        <w:tc>
          <w:tcPr>
            <w:tcW w:w="19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1.25% - 3.00%</w:t>
            </w:r>
          </w:p>
        </w:tc>
      </w:tr>
      <w:tr>
        <w:trPr>
          <w:trHeight w:val="237"/>
        </w:trPr>
        <w:tc>
          <w:tcPr>
            <w:tcW w:w="7500" w:type="dxa"/>
            <w:vAlign w:val="bottom"/>
          </w:tcPr>
          <w:p>
            <w:pPr>
              <w:ind w:left="140"/>
              <w:spacing w:after="0"/>
              <w:rPr>
                <w:sz w:val="20"/>
                <w:szCs w:val="20"/>
                <w:color w:val="auto"/>
              </w:rPr>
            </w:pPr>
            <w:r>
              <w:rPr>
                <w:rFonts w:ascii="Arial" w:cs="Arial" w:eastAsia="Arial" w:hAnsi="Arial"/>
                <w:sz w:val="18"/>
                <w:szCs w:val="18"/>
                <w:color w:val="auto"/>
              </w:rPr>
              <w:t>Expected term</w:t>
            </w:r>
          </w:p>
        </w:tc>
        <w:tc>
          <w:tcPr>
            <w:tcW w:w="1800" w:type="dxa"/>
            <w:vAlign w:val="bottom"/>
          </w:tcPr>
          <w:p>
            <w:pPr>
              <w:ind w:left="540"/>
              <w:spacing w:after="0"/>
              <w:rPr>
                <w:sz w:val="20"/>
                <w:szCs w:val="20"/>
                <w:color w:val="auto"/>
              </w:rPr>
            </w:pPr>
            <w:r>
              <w:rPr>
                <w:rFonts w:ascii="Arial" w:cs="Arial" w:eastAsia="Arial" w:hAnsi="Arial"/>
                <w:sz w:val="18"/>
                <w:szCs w:val="18"/>
                <w:color w:val="auto"/>
              </w:rPr>
              <w:t>6.00 years</w:t>
            </w:r>
          </w:p>
        </w:tc>
        <w:tc>
          <w:tcPr>
            <w:tcW w:w="140" w:type="dxa"/>
            <w:vAlign w:val="bottom"/>
          </w:tcPr>
          <w:p>
            <w:pPr>
              <w:spacing w:after="0"/>
              <w:rPr>
                <w:sz w:val="20"/>
                <w:szCs w:val="20"/>
                <w:color w:val="auto"/>
              </w:rPr>
            </w:pPr>
          </w:p>
        </w:tc>
        <w:tc>
          <w:tcPr>
            <w:tcW w:w="1800" w:type="dxa"/>
            <w:vAlign w:val="bottom"/>
          </w:tcPr>
          <w:p>
            <w:pPr>
              <w:ind w:left="520"/>
              <w:spacing w:after="0"/>
              <w:rPr>
                <w:sz w:val="20"/>
                <w:szCs w:val="20"/>
                <w:color w:val="auto"/>
              </w:rPr>
            </w:pPr>
            <w:r>
              <w:rPr>
                <w:rFonts w:ascii="Arial" w:cs="Arial" w:eastAsia="Arial" w:hAnsi="Arial"/>
                <w:sz w:val="18"/>
                <w:szCs w:val="18"/>
                <w:color w:val="auto"/>
              </w:rPr>
              <w:t>6.00 years</w:t>
            </w:r>
          </w:p>
        </w:tc>
      </w:tr>
      <w:tr>
        <w:trPr>
          <w:trHeight w:val="236"/>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46%</w:t>
            </w:r>
          </w:p>
        </w:tc>
        <w:tc>
          <w:tcPr>
            <w:tcW w:w="1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45% - 46%</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Weighted average volatility</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46%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46%</w:t>
            </w:r>
          </w:p>
        </w:tc>
      </w:tr>
      <w:tr>
        <w:trPr>
          <w:trHeight w:val="24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3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June 30, 2023, the total unrecognized compensation cost related to non-vested stock options was $5.7 million and the related weighted average period over which it is expected to be recognized is approximately 1.6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Stock Units</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a summary of our non-vested restricted stock units and performance stock units as of June 30, 2023 and changes during the nine months then ended (in thousands, except per common share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740"/>
        <w:spacing w:after="0" w:line="274" w:lineRule="auto"/>
        <w:rPr>
          <w:sz w:val="20"/>
          <w:szCs w:val="20"/>
          <w:color w:val="auto"/>
        </w:rPr>
      </w:pPr>
      <w:r>
        <w:rPr>
          <w:rFonts w:ascii="Arial" w:cs="Arial" w:eastAsia="Arial" w:hAnsi="Arial"/>
          <w:sz w:val="18"/>
          <w:szCs w:val="18"/>
          <w:color w:val="auto"/>
        </w:rPr>
        <w:t>Nonvested on September 30, 2022 Granted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Canceled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on June 30, 2023</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5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RSUs</w:t>
            </w:r>
          </w:p>
        </w:tc>
        <w:tc>
          <w:tcPr>
            <w:tcW w:w="1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PSUs</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520" w:type="dxa"/>
            <w:vAlign w:val="bottom"/>
            <w:vMerge w:val="restart"/>
          </w:tcPr>
          <w:p>
            <w:pPr>
              <w:jc w:val="right"/>
              <w:spacing w:after="0"/>
              <w:rPr>
                <w:sz w:val="20"/>
                <w:szCs w:val="20"/>
                <w:color w:val="auto"/>
              </w:rPr>
            </w:pPr>
            <w:r>
              <w:rPr>
                <w:rFonts w:ascii="Arial" w:cs="Arial" w:eastAsia="Arial" w:hAnsi="Arial"/>
                <w:sz w:val="18"/>
                <w:szCs w:val="18"/>
                <w:color w:val="auto"/>
                <w:w w:val="96"/>
              </w:rPr>
              <w:t>Number of Awards</w:t>
            </w:r>
          </w:p>
        </w:tc>
        <w:tc>
          <w:tcPr>
            <w:tcW w:w="140" w:type="dxa"/>
            <w:vAlign w:val="bottom"/>
          </w:tcPr>
          <w:p>
            <w:pPr>
              <w:spacing w:after="0"/>
              <w:rPr>
                <w:sz w:val="15"/>
                <w:szCs w:val="15"/>
                <w:color w:val="auto"/>
              </w:rPr>
            </w:pPr>
          </w:p>
        </w:tc>
        <w:tc>
          <w:tcPr>
            <w:tcW w:w="19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1"/>
              </w:rPr>
              <w:t>Weighted Average Grant</w:t>
            </w:r>
          </w:p>
        </w:tc>
        <w:tc>
          <w:tcPr>
            <w:tcW w:w="1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w w:val="95"/>
              </w:rPr>
              <w:t>Number of Awards</w:t>
            </w:r>
          </w:p>
        </w:tc>
        <w:tc>
          <w:tcPr>
            <w:tcW w:w="120" w:type="dxa"/>
            <w:vAlign w:val="bottom"/>
          </w:tcPr>
          <w:p>
            <w:pPr>
              <w:spacing w:after="0"/>
              <w:rPr>
                <w:sz w:val="15"/>
                <w:szCs w:val="15"/>
                <w:color w:val="auto"/>
              </w:rPr>
            </w:pPr>
          </w:p>
        </w:tc>
        <w:tc>
          <w:tcPr>
            <w:tcW w:w="194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2"/>
              </w:rPr>
              <w:t>Weighted Average Grant</w:t>
            </w:r>
          </w:p>
        </w:tc>
        <w:tc>
          <w:tcPr>
            <w:tcW w:w="0" w:type="dxa"/>
            <w:vAlign w:val="bottom"/>
          </w:tcPr>
          <w:p>
            <w:pPr>
              <w:spacing w:after="0"/>
              <w:rPr>
                <w:sz w:val="1"/>
                <w:szCs w:val="1"/>
                <w:color w:val="auto"/>
              </w:rPr>
            </w:pPr>
          </w:p>
        </w:tc>
      </w:tr>
      <w:tr>
        <w:trPr>
          <w:trHeight w:val="229"/>
        </w:trPr>
        <w:tc>
          <w:tcPr>
            <w:tcW w:w="15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Date Fair Value</w:t>
            </w:r>
          </w:p>
        </w:tc>
        <w:tc>
          <w:tcPr>
            <w:tcW w:w="120" w:type="dxa"/>
            <w:vAlign w:val="bottom"/>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1"/>
              </w:rPr>
              <w:t>Date Fair Value</w:t>
            </w:r>
          </w:p>
        </w:tc>
        <w:tc>
          <w:tcPr>
            <w:tcW w:w="0" w:type="dxa"/>
            <w:vAlign w:val="bottom"/>
          </w:tcPr>
          <w:p>
            <w:pPr>
              <w:spacing w:after="0"/>
              <w:rPr>
                <w:sz w:val="1"/>
                <w:szCs w:val="1"/>
                <w:color w:val="auto"/>
              </w:rPr>
            </w:pPr>
          </w:p>
        </w:tc>
      </w:tr>
      <w:tr>
        <w:trPr>
          <w:trHeight w:val="224"/>
        </w:trPr>
        <w:tc>
          <w:tcPr>
            <w:tcW w:w="1520" w:type="dxa"/>
            <w:vAlign w:val="bottom"/>
          </w:tcPr>
          <w:p>
            <w:pPr>
              <w:jc w:val="right"/>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41"/>
        </w:trPr>
        <w:tc>
          <w:tcPr>
            <w:tcW w:w="1520" w:type="dxa"/>
            <w:vAlign w:val="bottom"/>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40.07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30"/>
        </w:trPr>
        <w:tc>
          <w:tcPr>
            <w:tcW w:w="152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17.42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44"/>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-788035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-488315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-187960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240" w:space="720"/>
            <w:col w:w="7280"/>
          </w:cols>
          <w:pgMar w:left="320" w:top="125" w:right="339" w:bottom="1440" w:gutter="0" w:footer="0" w:header="0"/>
          <w:type w:val="continuous"/>
        </w:sectPr>
      </w:pPr>
    </w:p>
    <w:p>
      <w:pPr>
        <w:ind w:right="300"/>
        <w:spacing w:after="0" w:line="277" w:lineRule="auto"/>
        <w:rPr>
          <w:sz w:val="20"/>
          <w:szCs w:val="20"/>
          <w:color w:val="auto"/>
        </w:rPr>
      </w:pPr>
      <w:r>
        <w:rPr>
          <w:rFonts w:ascii="Arial" w:cs="Arial" w:eastAsia="Arial" w:hAnsi="Arial"/>
          <w:sz w:val="18"/>
          <w:szCs w:val="18"/>
          <w:color w:val="auto"/>
        </w:rPr>
        <w:t>As of June 30, 2023, the total unrecognized compensation cost related to non-vested stock units was $25.8 million. The related weighted average period over which this cost is expected to be recognized is approximately 2.1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management's discussion and analysis should be read in conjunction with our Annual Report on Form 10-K for the fiscal year ended September 30, 2022, as well as our subsequent reports on Form 10-Q and Form 8-K and any amendments to these reports.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discussion contains forward-looking statements that are based on management’s current expectations and assumptions. These statements often can be identified by the use of forward-looking terminology such as "assume," "believe," "anticipate," "intend," "estimate," "target," "may," "will," "expect," "plan," "potential," "project," "should," or "continue," or the negative thereof or other variations thereon or similar terminology.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supply chain and transportation challenges impacting businesses globally, risks related to ongoing inflationary pressures around the world and the monetary policies of governments globally as well as present concerns about a potential recession and the ability of companies like us to operate a global business in such conditions as well as negative effects on product demand and the financial solvency of customers and suppliers in such conditions, risks arising from the present war in Ukraine,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2022, subsequent filings, as well as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18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description of our critical accounting estimates was provided in the Management's Discussion and Analysis of Financial Condition and Results of Operations section of our Annual Report on Form 10-K for the fiscal year ended September 30,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16"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Our IoT Products &amp; Services segment offers products and services that help OEMs, enterprise and government customers create and deploy secure IoT connectivity solutions. From embedded and wireless modules to console servers as well as enterprise and industrial routers, we provide a wide variety of communication sub-assemblies and finished products to meet our customers' IoT communication requirements. In addition, this segment provides our customers with a device management platform and other professional services to enable customers to capture and manage data from devices connected to networks.</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IoT Solutions segment primarily consists of our Managed Network-as-a-Service (“MNaaS”) business acquired last year via our acquisition of Ventus Wireless, LLC and affiliated entities (“Ventus”) and our SmartSense by Digi® business. Ventus is a leader in the provision of MNaaS solutions that simplify the complexity of enterprise wide area network (“WAN”) connectivity for customers. The Ventus portfolio includes cellular wireless and fixed line WAN solutions for an array of connectivity applications in banking, healthcare, retail, gaming, hospitality and other sectors. SmartSense offers wireless temperature and other condition-based monitoring services as well as employee task management services. These solutions are focused on the following vertical markets: food service, healthcare (primarily pharmacies and hospitals) and supply chain.</w:t>
      </w:r>
    </w:p>
    <w:p>
      <w:pPr>
        <w:spacing w:after="0" w:line="15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compete for customers on the basis of existing and planned product features, service and software application capabilities, company reputation, brand recognition, technical support, alliance relationships, quality and reliability, product development capabilities, price and availability.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fiscal 2023, our key operating objectives include:</w:t>
      </w:r>
    </w:p>
    <w:p>
      <w:pPr>
        <w:spacing w:after="0" w:line="158" w:lineRule="exact"/>
        <w:rPr>
          <w:sz w:val="20"/>
          <w:szCs w:val="20"/>
          <w:color w:val="auto"/>
        </w:rPr>
      </w:pPr>
    </w:p>
    <w:p>
      <w:pPr>
        <w:ind w:left="660" w:right="80" w:hanging="328"/>
        <w:spacing w:after="0" w:line="232"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continuing to transition to complete solutions with software and service offerings included with our products, as this drives Annualized Recurring Revenue ("ARR"), which provides more predictable and higher margin revenues; and</w:t>
      </w:r>
    </w:p>
    <w:p>
      <w:pPr>
        <w:spacing w:after="0" w:line="9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a higher level of customer service across our businesses.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utilize many financial, operational, and other metrics to evaluate our financial condition and financial performance. Below we highlight the metrics for the third quarter of fiscal 2023 that we feel are most important in these evaluations, with comparisons to the third quarter of fiscal 2022:</w:t>
      </w:r>
    </w:p>
    <w:p>
      <w:pPr>
        <w:spacing w:after="0" w:line="3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revenue was $112 million, an increase of 8%.</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margin was 56.9%, an increase of 140 basis points. Gross profit margin excluding amortization was 57.7%, an increase of 100 basis points.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per diluted share was $0.18, compared to $0.12, an increase of 50%.</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net income and adjusted net income per share was $18.5 million, or $0.50 per diluted share, compared to $15.9 million, or $0.45 per diluted share, an increase of 11%.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Adjusted EBITDA was $24 million, an increase of 16%.</w:t>
      </w:r>
    </w:p>
    <w:p>
      <w:pPr>
        <w:spacing w:after="0" w:line="134" w:lineRule="exact"/>
        <w:rPr>
          <w:rFonts w:ascii="Arial" w:cs="Arial" w:eastAsia="Arial" w:hAnsi="Arial"/>
          <w:sz w:val="18"/>
          <w:szCs w:val="18"/>
          <w:i w:val="1"/>
          <w:iCs w:val="1"/>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ARR was $104 million at quarter end, an increase of 13%.</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information derived from our interim condensed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380"/>
              <w:spacing w:after="0"/>
              <w:rPr>
                <w:sz w:val="20"/>
                <w:szCs w:val="20"/>
                <w:color w:val="auto"/>
              </w:rPr>
            </w:pPr>
            <w:r>
              <w:rPr>
                <w:rFonts w:ascii="Arial" w:cs="Arial" w:eastAsia="Arial" w:hAnsi="Arial"/>
                <w:sz w:val="14"/>
                <w:szCs w:val="14"/>
                <w:color w:val="auto"/>
                <w:w w:val="92"/>
              </w:rPr>
              <w:t>Three months ended June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 incr.</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7"/>
          </w:tcPr>
          <w:p>
            <w:pPr>
              <w:jc w:val="right"/>
              <w:ind w:right="420"/>
              <w:spacing w:after="0"/>
              <w:rPr>
                <w:sz w:val="20"/>
                <w:szCs w:val="20"/>
                <w:color w:val="auto"/>
              </w:rPr>
            </w:pPr>
            <w:r>
              <w:rPr>
                <w:rFonts w:ascii="Arial" w:cs="Arial" w:eastAsia="Arial" w:hAnsi="Arial"/>
                <w:sz w:val="14"/>
                <w:szCs w:val="14"/>
                <w:color w:val="auto"/>
                <w:w w:val="94"/>
              </w:rPr>
              <w:t>Nine months ended June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 incr.</w:t>
            </w:r>
          </w:p>
        </w:tc>
        <w:tc>
          <w:tcPr>
            <w:tcW w:w="0" w:type="dxa"/>
            <w:vAlign w:val="bottom"/>
          </w:tcPr>
          <w:p>
            <w:pPr>
              <w:spacing w:after="0"/>
              <w:rPr>
                <w:sz w:val="1"/>
                <w:szCs w:val="1"/>
                <w:color w:val="auto"/>
              </w:rPr>
            </w:pPr>
          </w:p>
        </w:tc>
      </w:tr>
      <w:tr>
        <w:trPr>
          <w:trHeight w:val="26"/>
        </w:trPr>
        <w:tc>
          <w:tcPr>
            <w:tcW w:w="204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(decr.)</w:t>
            </w:r>
          </w:p>
        </w:tc>
        <w:tc>
          <w:tcPr>
            <w:tcW w:w="12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(decr.)</w:t>
            </w:r>
          </w:p>
        </w:tc>
        <w:tc>
          <w:tcPr>
            <w:tcW w:w="0" w:type="dxa"/>
            <w:vAlign w:val="bottom"/>
          </w:tcPr>
          <w:p>
            <w:pPr>
              <w:spacing w:after="0"/>
              <w:rPr>
                <w:sz w:val="1"/>
                <w:szCs w:val="1"/>
                <w:color w:val="auto"/>
              </w:rPr>
            </w:pPr>
          </w:p>
        </w:tc>
      </w:tr>
      <w:tr>
        <w:trPr>
          <w:trHeight w:val="179"/>
        </w:trPr>
        <w:tc>
          <w:tcPr>
            <w:tcW w:w="20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112,236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103,517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332,686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282,487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17.8 %</w:t>
            </w:r>
          </w:p>
        </w:tc>
        <w:tc>
          <w:tcPr>
            <w:tcW w:w="0" w:type="dxa"/>
            <w:vAlign w:val="bottom"/>
          </w:tcPr>
          <w:p>
            <w:pPr>
              <w:spacing w:after="0"/>
              <w:rPr>
                <w:sz w:val="1"/>
                <w:szCs w:val="1"/>
                <w:color w:val="auto"/>
              </w:rPr>
            </w:pP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48,417</w:t>
            </w: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46,091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44.5</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144,474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125,196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44.3</w:t>
            </w: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63,819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55.5</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55.7</w:t>
            </w: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51,343</w:t>
            </w: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47,452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45.8</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151,598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135,954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48.1</w:t>
            </w: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2"/>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9.6</w:t>
            </w:r>
          </w:p>
        </w:tc>
        <w:tc>
          <w:tcPr>
            <w:tcW w:w="800" w:type="dxa"/>
            <w:vAlign w:val="bottom"/>
            <w:tcBorders>
              <w:top w:val="single" w:sz="8" w:color="CCEEFF"/>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25.1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7.6</w:t>
            </w:r>
          </w:p>
        </w:tc>
        <w:tc>
          <w:tcPr>
            <w:tcW w:w="820" w:type="dxa"/>
            <w:vAlign w:val="bottom"/>
            <w:tcBorders>
              <w:top w:val="single" w:sz="8" w:color="CCEEFF"/>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(6,588)</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w:t>
            </w: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79"/>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5,888</w:t>
            </w:r>
          </w:p>
        </w:tc>
        <w:tc>
          <w:tcPr>
            <w:tcW w:w="9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28.5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8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(839)</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6,727</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63.0 %</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125.6 %</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NM means not meaningful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right"/>
              <w:ind w:right="380"/>
              <w:spacing w:after="0"/>
              <w:rPr>
                <w:sz w:val="20"/>
                <w:szCs w:val="20"/>
                <w:color w:val="auto"/>
              </w:rPr>
            </w:pPr>
            <w:r>
              <w:rPr>
                <w:rFonts w:ascii="Arial" w:cs="Arial" w:eastAsia="Arial" w:hAnsi="Arial"/>
                <w:sz w:val="14"/>
                <w:szCs w:val="14"/>
                <w:color w:val="auto"/>
                <w:w w:val="92"/>
              </w:rPr>
              <w:t>Three months ended June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 incr.</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right"/>
              <w:ind w:right="400"/>
              <w:spacing w:after="0"/>
              <w:rPr>
                <w:sz w:val="20"/>
                <w:szCs w:val="20"/>
                <w:color w:val="auto"/>
              </w:rPr>
            </w:pPr>
            <w:r>
              <w:rPr>
                <w:rFonts w:ascii="Arial" w:cs="Arial" w:eastAsia="Arial" w:hAnsi="Arial"/>
                <w:sz w:val="14"/>
                <w:szCs w:val="14"/>
                <w:color w:val="auto"/>
                <w:w w:val="94"/>
              </w:rPr>
              <w:t>Nine months ended June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auto"/>
              </w:rPr>
              <w:t>% incr.</w:t>
            </w:r>
          </w:p>
        </w:tc>
        <w:tc>
          <w:tcPr>
            <w:tcW w:w="0" w:type="dxa"/>
            <w:vAlign w:val="bottom"/>
          </w:tcPr>
          <w:p>
            <w:pPr>
              <w:spacing w:after="0"/>
              <w:rPr>
                <w:sz w:val="1"/>
                <w:szCs w:val="1"/>
                <w:color w:val="auto"/>
              </w:rPr>
            </w:pPr>
          </w:p>
        </w:tc>
      </w:tr>
      <w:tr>
        <w:trPr>
          <w:trHeight w:val="26"/>
        </w:trPr>
        <w:tc>
          <w:tcPr>
            <w:tcW w:w="208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3"/>
              </w:rPr>
              <w:t>(decr.)</w:t>
            </w: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auto"/>
              </w:rPr>
              <w:t>(decr.)</w:t>
            </w:r>
          </w:p>
        </w:tc>
        <w:tc>
          <w:tcPr>
            <w:tcW w:w="0" w:type="dxa"/>
            <w:vAlign w:val="bottom"/>
          </w:tcPr>
          <w:p>
            <w:pPr>
              <w:spacing w:after="0"/>
              <w:rPr>
                <w:sz w:val="1"/>
                <w:szCs w:val="1"/>
                <w:color w:val="auto"/>
              </w:rPr>
            </w:pPr>
          </w:p>
        </w:tc>
      </w:tr>
      <w:tr>
        <w:trPr>
          <w:trHeight w:val="179"/>
        </w:trPr>
        <w:tc>
          <w:tcPr>
            <w:tcW w:w="2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68"/>
              <w:spacing w:after="0"/>
              <w:rPr>
                <w:sz w:val="20"/>
                <w:szCs w:val="20"/>
                <w:color w:val="auto"/>
              </w:rPr>
            </w:pPr>
            <w:r>
              <w:rPr>
                <w:rFonts w:ascii="Arial" w:cs="Arial" w:eastAsia="Arial" w:hAnsi="Arial"/>
                <w:sz w:val="14"/>
                <w:szCs w:val="14"/>
                <w:color w:val="auto"/>
              </w:rPr>
              <w:t>2023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2023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140"/>
              <w:spacing w:after="0"/>
              <w:rPr>
                <w:sz w:val="20"/>
                <w:szCs w:val="20"/>
                <w:color w:val="auto"/>
              </w:rPr>
            </w:pPr>
            <w:r>
              <w:rPr>
                <w:rFonts w:ascii="Arial" w:cs="Arial" w:eastAsia="Arial" w:hAnsi="Arial"/>
                <w:sz w:val="14"/>
                <w:szCs w:val="14"/>
                <w:color w:val="auto"/>
              </w:rPr>
              <w:t>IoT Products &amp; Services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87,358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77.8 %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79,758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77.0 %</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w w:val="94"/>
              </w:rPr>
              <w:t>9.5 %</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257,593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77.4 %</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216,872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76.8 %</w:t>
            </w:r>
          </w:p>
        </w:tc>
        <w:tc>
          <w:tcPr>
            <w:tcW w:w="800" w:type="dxa"/>
            <w:vAlign w:val="bottom"/>
            <w:gridSpan w:val="2"/>
          </w:tcPr>
          <w:p>
            <w:pPr>
              <w:ind w:left="380"/>
              <w:spacing w:after="0"/>
              <w:rPr>
                <w:sz w:val="20"/>
                <w:szCs w:val="20"/>
                <w:color w:val="auto"/>
              </w:rPr>
            </w:pPr>
            <w:r>
              <w:rPr>
                <w:rFonts w:ascii="Arial" w:cs="Arial" w:eastAsia="Arial" w:hAnsi="Arial"/>
                <w:sz w:val="14"/>
                <w:szCs w:val="14"/>
                <w:color w:val="auto"/>
                <w:w w:val="91"/>
              </w:rPr>
              <w:t>18.8 %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24,878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23,759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23.0</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65,615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23.2</w:t>
            </w: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9"/>
        </w:trPr>
        <w:tc>
          <w:tcPr>
            <w:tcW w:w="2080" w:type="dxa"/>
            <w:vAlign w:val="bottom"/>
          </w:tcPr>
          <w:p>
            <w:pPr>
              <w:ind w:left="220"/>
              <w:spacing w:after="0"/>
              <w:rPr>
                <w:sz w:val="20"/>
                <w:szCs w:val="20"/>
                <w:color w:val="auto"/>
              </w:rPr>
            </w:pPr>
            <w:r>
              <w:rPr>
                <w:rFonts w:ascii="Arial" w:cs="Arial" w:eastAsia="Arial" w:hAnsi="Arial"/>
                <w:sz w:val="14"/>
                <w:szCs w:val="14"/>
                <w:color w:val="auto"/>
              </w:rPr>
              <w:t>Total revenue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112,236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103,517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100.0 %</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w w:val="94"/>
              </w:rPr>
              <w:t>8.4 %</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332,686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100.0 %</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282,487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100.0 %</w:t>
            </w:r>
          </w:p>
        </w:tc>
        <w:tc>
          <w:tcPr>
            <w:tcW w:w="800" w:type="dxa"/>
            <w:vAlign w:val="bottom"/>
            <w:gridSpan w:val="2"/>
          </w:tcPr>
          <w:p>
            <w:pPr>
              <w:ind w:left="380"/>
              <w:spacing w:after="0"/>
              <w:rPr>
                <w:sz w:val="20"/>
                <w:szCs w:val="20"/>
                <w:color w:val="auto"/>
              </w:rPr>
            </w:pPr>
            <w:r>
              <w:rPr>
                <w:rFonts w:ascii="Arial" w:cs="Arial" w:eastAsia="Arial" w:hAnsi="Arial"/>
                <w:sz w:val="14"/>
                <w:szCs w:val="14"/>
                <w:color w:val="auto"/>
                <w:w w:val="91"/>
              </w:rPr>
              <w:t>17.8 %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Products &amp; Services</w:t>
      </w:r>
    </w:p>
    <w:p>
      <w:pPr>
        <w:spacing w:after="0" w:line="18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IoT Products &amp; Services revenue increased 9.5% for the three months ended June 30, 2023, as compared to the same period in the prior fiscal year. This increase is attributable to growth in our OEM &amp; IM product lines. IoT Products &amp; Services revenue increased 18.8% for the nine months ended June 30, 2023, as compared to the same period in the prior fiscal year. This increase is attributable to growth in each of our product lines.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Solutions</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IoT Solutions revenue increased 4.7% for the three months ended June 30, 2023, as compared to the same period in the prior fiscal year. This increase is primarily attributable to growth in SmartSense. IoT Solutions revenue increased 14.4% for the nine months ended June 30, 2023, as compared to the same period in the prior fiscal year. This increase is attributable to growth in each of our SmartSense and Ventus offerings, as well as fiscal 2022 results excluding October 2021 Ventus revenues that preceded the acquisition.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ARR</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ARR was $104 million as of June 30, 2023, compared to $92 million as of June 30, 2022. IoT Products &amp; Services ARR was $22 million as of June 30, 2023, compared to $15 million as of June 30, 2022. IoT Solutions ARR was over $82 million as of June 30, 2023, compared to $77 million as of June 30,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AND GROSS PROFIT BY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Below are our segments' cost of goods sold and gross profit as a percentage of their respective total revenue: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4"/>
                <w:szCs w:val="14"/>
                <w:color w:val="auto"/>
                <w:w w:val="92"/>
              </w:rPr>
              <w:t>Three months ended June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Basis point</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4"/>
                <w:szCs w:val="14"/>
                <w:color w:val="auto"/>
                <w:w w:val="98"/>
              </w:rPr>
              <w:t>Nine months ended June 30,</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color w:val="auto"/>
                <w:w w:val="93"/>
              </w:rPr>
              <w:t>Basis point</w:t>
            </w:r>
          </w:p>
        </w:tc>
      </w:tr>
      <w:tr>
        <w:trPr>
          <w:trHeight w:val="182"/>
        </w:trPr>
        <w:tc>
          <w:tcPr>
            <w:tcW w:w="20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148"/>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color w:val="auto"/>
              </w:rPr>
              <w:t>inc. (decr.)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128"/>
              <w:spacing w:after="0"/>
              <w:rPr>
                <w:sz w:val="20"/>
                <w:szCs w:val="20"/>
                <w:color w:val="auto"/>
              </w:rPr>
            </w:pPr>
            <w:r>
              <w:rPr>
                <w:rFonts w:ascii="Arial" w:cs="Arial" w:eastAsia="Arial" w:hAnsi="Arial"/>
                <w:sz w:val="14"/>
                <w:szCs w:val="14"/>
                <w:color w:val="auto"/>
              </w:rPr>
              <w:t>2023</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2022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ind w:left="8"/>
              <w:spacing w:after="0"/>
              <w:rPr>
                <w:sz w:val="20"/>
                <w:szCs w:val="20"/>
                <w:color w:val="auto"/>
              </w:rPr>
            </w:pPr>
            <w:r>
              <w:rPr>
                <w:rFonts w:ascii="Arial" w:cs="Arial" w:eastAsia="Arial" w:hAnsi="Arial"/>
                <w:sz w:val="14"/>
                <w:szCs w:val="14"/>
                <w:color w:val="auto"/>
                <w:w w:val="93"/>
              </w:rPr>
              <w:t>inc. (decr.)</w:t>
            </w: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 of Goods Sold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6"/>
        </w:trPr>
        <w:tc>
          <w:tcPr>
            <w:tcW w:w="2020" w:type="dxa"/>
            <w:vAlign w:val="bottom"/>
          </w:tcPr>
          <w:p>
            <w:pPr>
              <w:ind w:left="140"/>
              <w:spacing w:after="0"/>
              <w:rPr>
                <w:sz w:val="20"/>
                <w:szCs w:val="20"/>
                <w:color w:val="auto"/>
              </w:rPr>
            </w:pPr>
            <w:r>
              <w:rPr>
                <w:rFonts w:ascii="Arial" w:cs="Arial" w:eastAsia="Arial" w:hAnsi="Arial"/>
                <w:sz w:val="14"/>
                <w:szCs w:val="14"/>
                <w:color w:val="auto"/>
              </w:rPr>
              <w:t>IoT Products &amp; Services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40,129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45.9 %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37,115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46.5 %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117,226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45.5 %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100,093</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46.2 %</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w:t>
            </w:r>
          </w:p>
        </w:tc>
      </w:tr>
      <w:tr>
        <w:trPr>
          <w:trHeight w:val="206"/>
        </w:trPr>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33.3 %</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27,248</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25,103</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96"/>
        </w:trPr>
        <w:tc>
          <w:tcPr>
            <w:tcW w:w="2020" w:type="dxa"/>
            <w:vAlign w:val="bottom"/>
          </w:tcPr>
          <w:p>
            <w:pPr>
              <w:ind w:left="220"/>
              <w:spacing w:after="0"/>
              <w:rPr>
                <w:sz w:val="20"/>
                <w:szCs w:val="20"/>
                <w:color w:val="auto"/>
              </w:rPr>
            </w:pPr>
            <w:r>
              <w:rPr>
                <w:rFonts w:ascii="Arial" w:cs="Arial" w:eastAsia="Arial" w:hAnsi="Arial"/>
                <w:sz w:val="14"/>
                <w:szCs w:val="14"/>
                <w:color w:val="auto"/>
              </w:rPr>
              <w:t>Total cost of goods sold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43.1 %</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44.5 %</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144,474</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43.4 %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125,196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44.3 %</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(90)</w:t>
            </w:r>
          </w:p>
        </w:tc>
      </w:tr>
      <w:tr>
        <w:trPr>
          <w:trHeight w:val="21"/>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0"/>
        </w:trPr>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color w:val="auto"/>
                <w:w w:val="90"/>
              </w:rPr>
              <w:t>Three months ended June 30,</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color w:val="auto"/>
              </w:rPr>
              <w:t>Basis point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4"/>
                <w:szCs w:val="14"/>
                <w:color w:val="auto"/>
              </w:rPr>
              <w:t>Nine months ended June 30,</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color w:val="auto"/>
                <w:w w:val="93"/>
              </w:rPr>
              <w:t>Basis point</w:t>
            </w:r>
          </w:p>
        </w:tc>
      </w:tr>
      <w:tr>
        <w:trPr>
          <w:trHeight w:val="182"/>
        </w:trPr>
        <w:tc>
          <w:tcPr>
            <w:tcW w:w="20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28"/>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color w:val="auto"/>
              </w:rPr>
              <w:t>inc. (decr.)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color w:val="auto"/>
              </w:rPr>
              <w:t>2023</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2022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ind w:left="48"/>
              <w:spacing w:after="0"/>
              <w:rPr>
                <w:sz w:val="20"/>
                <w:szCs w:val="20"/>
                <w:color w:val="auto"/>
              </w:rPr>
            </w:pPr>
            <w:r>
              <w:rPr>
                <w:rFonts w:ascii="Arial" w:cs="Arial" w:eastAsia="Arial" w:hAnsi="Arial"/>
                <w:sz w:val="14"/>
                <w:szCs w:val="14"/>
                <w:color w:val="auto"/>
                <w:w w:val="93"/>
              </w:rPr>
              <w:t>inc. (decr.)</w:t>
            </w: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2"/>
        </w:trPr>
        <w:tc>
          <w:tcPr>
            <w:tcW w:w="2020" w:type="dxa"/>
            <w:vAlign w:val="bottom"/>
          </w:tcPr>
          <w:p>
            <w:pPr>
              <w:ind w:left="140"/>
              <w:spacing w:after="0"/>
              <w:rPr>
                <w:sz w:val="20"/>
                <w:szCs w:val="20"/>
                <w:color w:val="auto"/>
              </w:rPr>
            </w:pPr>
            <w:r>
              <w:rPr>
                <w:rFonts w:ascii="Arial" w:cs="Arial" w:eastAsia="Arial" w:hAnsi="Arial"/>
                <w:sz w:val="14"/>
                <w:szCs w:val="14"/>
                <w:color w:val="auto"/>
              </w:rPr>
              <w:t>IoT Products &amp; Services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47,229</w:t>
            </w:r>
          </w:p>
        </w:tc>
        <w:tc>
          <w:tcPr>
            <w:tcW w:w="34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54.1 %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42,643</w:t>
            </w:r>
          </w:p>
        </w:tc>
        <w:tc>
          <w:tcPr>
            <w:tcW w:w="3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53.5 %</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5"/>
                <w:szCs w:val="15"/>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140,367</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54.5 %</w:t>
            </w:r>
          </w:p>
        </w:tc>
        <w:tc>
          <w:tcPr>
            <w:tcW w:w="60" w:type="dxa"/>
            <w:vAlign w:val="bottom"/>
          </w:tcPr>
          <w:p>
            <w:pPr>
              <w:spacing w:after="0"/>
              <w:rPr>
                <w:sz w:val="15"/>
                <w:szCs w:val="15"/>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116,779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53.8 %</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2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16,590</w:t>
            </w: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66.7 %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14,783</w:t>
            </w: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62.2 %</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47,845</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63.7 %</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40,512</w:t>
            </w: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61.7 %</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83"/>
        </w:trPr>
        <w:tc>
          <w:tcPr>
            <w:tcW w:w="2020" w:type="dxa"/>
            <w:vAlign w:val="bottom"/>
          </w:tcPr>
          <w:p>
            <w:pPr>
              <w:ind w:left="220"/>
              <w:spacing w:after="0"/>
              <w:rPr>
                <w:sz w:val="20"/>
                <w:szCs w:val="20"/>
                <w:color w:val="auto"/>
              </w:rPr>
            </w:pPr>
            <w:r>
              <w:rPr>
                <w:rFonts w:ascii="Arial" w:cs="Arial" w:eastAsia="Arial" w:hAnsi="Arial"/>
                <w:sz w:val="14"/>
                <w:szCs w:val="14"/>
                <w:color w:val="auto"/>
              </w:rPr>
              <w:t>Total gross profit</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63,819</w:t>
            </w:r>
          </w:p>
        </w:tc>
        <w:tc>
          <w:tcPr>
            <w:tcW w:w="34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56.9 %</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57,426</w:t>
            </w:r>
          </w:p>
        </w:tc>
        <w:tc>
          <w:tcPr>
            <w:tcW w:w="3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55.5 %</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188,212</w:t>
            </w:r>
          </w:p>
        </w:tc>
        <w:tc>
          <w:tcPr>
            <w:tcW w:w="60" w:type="dxa"/>
            <w:vAlign w:val="bottom"/>
            <w:tcBorders>
              <w:top w:val="single" w:sz="8" w:color="auto"/>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56.6 %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157,291</w:t>
            </w:r>
          </w:p>
        </w:tc>
        <w:tc>
          <w:tcPr>
            <w:tcW w:w="20" w:type="dxa"/>
            <w:vAlign w:val="bottom"/>
            <w:tcBorders>
              <w:top w:val="single" w:sz="8" w:color="auto"/>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55.7 %</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90</w:t>
            </w:r>
          </w:p>
        </w:tc>
      </w:tr>
      <w:tr>
        <w:trPr>
          <w:trHeight w:val="21"/>
        </w:trPr>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Product &amp; Services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IoT Products &amp; Services gross profit margin increased 60 basis points for the three months ended June 30, 2023 as compared to the same period in the prior fiscal year. IoT Products &amp; Services gross profit margin increased 70 basis points for the nine months ended June 30, 2023 as compared to the same period in the prior fiscal year. These increases were primarily a result of changes in product and customer mix.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Solutions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IoT Solutions gross profit margin increased 450 basis points for the three months ended June 30, 2023 as compared to the same period in the prior fiscal year. This increase primarily was a result of changes in product and customer mix.</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IoT Solutions gross profit margin increased 200 basis points for the nine months ended June 30, 2023 as compared to the same period in the prior fiscal year. This increase primarily was a result of changes in product and customer mix partially offset by increased expenses for inventory reserves.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Below are our operating expenses and operating expenses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color w:val="auto"/>
                <w:w w:val="90"/>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color w:val="auto"/>
                <w:w w:val="92"/>
              </w:rPr>
              <w:t>Nine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48"/>
              <w:spacing w:after="0" w:line="130" w:lineRule="exact"/>
              <w:rPr>
                <w:sz w:val="20"/>
                <w:szCs w:val="20"/>
                <w:color w:val="auto"/>
              </w:rPr>
            </w:pPr>
            <w:r>
              <w:rPr>
                <w:rFonts w:ascii="Arial" w:cs="Arial" w:eastAsia="Arial" w:hAnsi="Arial"/>
                <w:sz w:val="14"/>
                <w:szCs w:val="14"/>
                <w:color w:val="auto"/>
                <w:w w:val="98"/>
              </w:rPr>
              <w:t>incr.</w:t>
            </w:r>
          </w:p>
        </w:tc>
        <w:tc>
          <w:tcPr>
            <w:tcW w:w="12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4"/>
                <w:szCs w:val="14"/>
                <w:color w:val="auto"/>
                <w:w w:val="98"/>
              </w:rPr>
              <w:t>incr.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48"/>
              <w:spacing w:after="0" w:line="130" w:lineRule="exact"/>
              <w:rPr>
                <w:sz w:val="20"/>
                <w:szCs w:val="20"/>
                <w:color w:val="auto"/>
              </w:rPr>
            </w:pPr>
            <w:r>
              <w:rPr>
                <w:rFonts w:ascii="Arial" w:cs="Arial" w:eastAsia="Arial" w:hAnsi="Arial"/>
                <w:sz w:val="14"/>
                <w:szCs w:val="14"/>
                <w:color w:val="auto"/>
                <w:w w:val="90"/>
              </w:rPr>
              <w:t>incr.</w:t>
            </w:r>
          </w:p>
        </w:tc>
        <w:tc>
          <w:tcPr>
            <w:tcW w:w="120" w:type="dxa"/>
            <w:vAlign w:val="bottom"/>
          </w:tcPr>
          <w:p>
            <w:pPr>
              <w:spacing w:after="0"/>
              <w:rPr>
                <w:sz w:val="11"/>
                <w:szCs w:val="11"/>
                <w:color w:val="auto"/>
              </w:rPr>
            </w:pPr>
          </w:p>
        </w:tc>
        <w:tc>
          <w:tcPr>
            <w:tcW w:w="660" w:type="dxa"/>
            <w:vAlign w:val="bottom"/>
          </w:tcPr>
          <w:p>
            <w:pPr>
              <w:jc w:val="center"/>
              <w:spacing w:after="0" w:line="130" w:lineRule="exact"/>
              <w:rPr>
                <w:sz w:val="20"/>
                <w:szCs w:val="20"/>
                <w:color w:val="auto"/>
              </w:rPr>
            </w:pPr>
            <w:r>
              <w:rPr>
                <w:rFonts w:ascii="Arial" w:cs="Arial" w:eastAsia="Arial" w:hAnsi="Arial"/>
                <w:sz w:val="14"/>
                <w:szCs w:val="14"/>
                <w:color w:val="auto"/>
                <w:w w:val="98"/>
              </w:rPr>
              <w:t>incr.</w:t>
            </w:r>
          </w:p>
        </w:tc>
      </w:tr>
      <w:tr>
        <w:trPr>
          <w:trHeight w:val="154"/>
        </w:trPr>
        <w:tc>
          <w:tcPr>
            <w:tcW w:w="20" w:type="dxa"/>
            <w:vAlign w:val="bottom"/>
          </w:tcPr>
          <w:p>
            <w:pPr>
              <w:spacing w:after="0"/>
              <w:rPr>
                <w:sz w:val="13"/>
                <w:szCs w:val="13"/>
                <w:color w:val="auto"/>
              </w:rPr>
            </w:pPr>
          </w:p>
        </w:tc>
        <w:tc>
          <w:tcPr>
            <w:tcW w:w="1820" w:type="dxa"/>
            <w:vAlign w:val="bottom"/>
            <w:gridSpan w:val="2"/>
          </w:tcPr>
          <w:p>
            <w:pPr>
              <w:spacing w:after="0" w:line="154"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160" w:type="dxa"/>
            <w:vAlign w:val="bottom"/>
          </w:tcPr>
          <w:p>
            <w:pPr>
              <w:spacing w:after="0"/>
              <w:rPr>
                <w:sz w:val="13"/>
                <w:szCs w:val="13"/>
                <w:color w:val="auto"/>
              </w:rPr>
            </w:pPr>
          </w:p>
        </w:tc>
        <w:tc>
          <w:tcPr>
            <w:tcW w:w="820" w:type="dxa"/>
            <w:vAlign w:val="bottom"/>
            <w:gridSpan w:val="3"/>
          </w:tcPr>
          <w:p>
            <w:pPr>
              <w:jc w:val="right"/>
              <w:ind w:right="80"/>
              <w:spacing w:after="0" w:line="154" w:lineRule="exact"/>
              <w:rPr>
                <w:sz w:val="20"/>
                <w:szCs w:val="20"/>
                <w:color w:val="auto"/>
              </w:rPr>
            </w:pPr>
            <w:r>
              <w:rPr>
                <w:rFonts w:ascii="Arial" w:cs="Arial" w:eastAsia="Arial" w:hAnsi="Arial"/>
                <w:sz w:val="14"/>
                <w:szCs w:val="14"/>
                <w:color w:val="auto"/>
              </w:rPr>
              <w:t>2023</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100"/>
              <w:spacing w:after="0" w:line="154" w:lineRule="exact"/>
              <w:rPr>
                <w:sz w:val="20"/>
                <w:szCs w:val="20"/>
                <w:color w:val="auto"/>
              </w:rPr>
            </w:pPr>
            <w:r>
              <w:rPr>
                <w:rFonts w:ascii="Arial" w:cs="Arial" w:eastAsia="Arial" w:hAnsi="Arial"/>
                <w:sz w:val="14"/>
                <w:szCs w:val="14"/>
                <w:color w:val="auto"/>
              </w:rPr>
              <w:t>2022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ind w:right="48"/>
              <w:spacing w:after="0" w:line="154" w:lineRule="exact"/>
              <w:rPr>
                <w:sz w:val="20"/>
                <w:szCs w:val="20"/>
                <w:color w:val="auto"/>
              </w:rPr>
            </w:pPr>
            <w:r>
              <w:rPr>
                <w:rFonts w:ascii="Arial" w:cs="Arial" w:eastAsia="Arial" w:hAnsi="Arial"/>
                <w:sz w:val="14"/>
                <w:szCs w:val="14"/>
                <w:color w:val="auto"/>
                <w:w w:val="93"/>
              </w:rPr>
              <w:t>(decr.)</w:t>
            </w:r>
          </w:p>
        </w:tc>
        <w:tc>
          <w:tcPr>
            <w:tcW w:w="120" w:type="dxa"/>
            <w:vAlign w:val="bottom"/>
          </w:tcPr>
          <w:p>
            <w:pPr>
              <w:spacing w:after="0"/>
              <w:rPr>
                <w:sz w:val="13"/>
                <w:szCs w:val="13"/>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8"/>
              </w:rPr>
              <w:t>(decr.)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100"/>
              <w:spacing w:after="0" w:line="154" w:lineRule="exact"/>
              <w:rPr>
                <w:sz w:val="20"/>
                <w:szCs w:val="20"/>
                <w:color w:val="auto"/>
              </w:rPr>
            </w:pPr>
            <w:r>
              <w:rPr>
                <w:rFonts w:ascii="Arial" w:cs="Arial" w:eastAsia="Arial" w:hAnsi="Arial"/>
                <w:sz w:val="14"/>
                <w:szCs w:val="14"/>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right"/>
              <w:ind w:right="100"/>
              <w:spacing w:after="0" w:line="154" w:lineRule="exact"/>
              <w:rPr>
                <w:sz w:val="20"/>
                <w:szCs w:val="20"/>
                <w:color w:val="auto"/>
              </w:rPr>
            </w:pPr>
            <w:r>
              <w:rPr>
                <w:rFonts w:ascii="Arial" w:cs="Arial" w:eastAsia="Arial" w:hAnsi="Arial"/>
                <w:sz w:val="14"/>
                <w:szCs w:val="14"/>
                <w:color w:val="auto"/>
              </w:rPr>
              <w:t>2022</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48"/>
              <w:spacing w:after="0" w:line="154" w:lineRule="exact"/>
              <w:rPr>
                <w:sz w:val="20"/>
                <w:szCs w:val="20"/>
                <w:color w:val="auto"/>
              </w:rPr>
            </w:pPr>
            <w:r>
              <w:rPr>
                <w:rFonts w:ascii="Arial" w:cs="Arial" w:eastAsia="Arial" w:hAnsi="Arial"/>
                <w:sz w:val="14"/>
                <w:szCs w:val="14"/>
                <w:color w:val="auto"/>
                <w:w w:val="88"/>
              </w:rPr>
              <w:t>(decr.)</w:t>
            </w:r>
          </w:p>
        </w:tc>
        <w:tc>
          <w:tcPr>
            <w:tcW w:w="120" w:type="dxa"/>
            <w:vAlign w:val="bottom"/>
          </w:tcPr>
          <w:p>
            <w:pPr>
              <w:spacing w:after="0"/>
              <w:rPr>
                <w:sz w:val="13"/>
                <w:szCs w:val="13"/>
                <w:color w:val="auto"/>
              </w:rPr>
            </w:pPr>
          </w:p>
        </w:tc>
        <w:tc>
          <w:tcPr>
            <w:tcW w:w="660" w:type="dxa"/>
            <w:vAlign w:val="bottom"/>
          </w:tcPr>
          <w:p>
            <w:pPr>
              <w:jc w:val="center"/>
              <w:spacing w:after="0" w:line="154" w:lineRule="exact"/>
              <w:rPr>
                <w:sz w:val="20"/>
                <w:szCs w:val="20"/>
                <w:color w:val="auto"/>
              </w:rPr>
            </w:pPr>
            <w:r>
              <w:rPr>
                <w:rFonts w:ascii="Arial" w:cs="Arial" w:eastAsia="Arial" w:hAnsi="Arial"/>
                <w:sz w:val="14"/>
                <w:szCs w:val="14"/>
                <w:color w:val="auto"/>
                <w:w w:val="93"/>
              </w:rPr>
              <w:t>(decr.)</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20,974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w w:val="91"/>
              </w:rPr>
              <w:t>18.7 %</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18,230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w w:val="91"/>
              </w:rPr>
              <w:t>17.6 %</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2,744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60,421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w w:val="96"/>
              </w:rPr>
              <w:t>18.2 %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51,325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w w:val="91"/>
              </w:rPr>
              <w:t>18.2 %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9,096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17.7 %</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14,945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13,968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44,194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41,199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2,995</w:t>
            </w:r>
          </w:p>
        </w:tc>
        <w:tc>
          <w:tcPr>
            <w:tcW w:w="7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7.3</w:t>
            </w:r>
          </w:p>
        </w:tc>
      </w:tr>
      <w:tr>
        <w:trPr>
          <w:trHeight w:val="186"/>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46,983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w:t>
            </w: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8.2</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1"/>
              </w:rPr>
              <w:t>45.7 %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45.8 %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151,598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45.6 %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135,954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48.1 %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$3.9 million increase in operating expenses in the third quarter of fiscal 2023 from the third quarter of fiscal 2022 was the result of incremental operating expenses, primarily from investments in Opengear and SmartSense, an increase in stock-based compensation and costs associated with ongoing litigation. The $15.6 million increase in operating expenses in the nine months ended June 30, 2023 from the nine months ended June 30, 2022 was the result of incremental operating expenses, primarily from the acquisition of Ventus, investments in Opengear and SmartSense and an increase in stock-based compensation.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spacing w:after="0"/>
              <w:rPr>
                <w:sz w:val="15"/>
                <w:szCs w:val="15"/>
                <w:color w:val="auto"/>
              </w:rPr>
            </w:pPr>
          </w:p>
        </w:tc>
        <w:tc>
          <w:tcPr>
            <w:tcW w:w="1720" w:type="dxa"/>
            <w:vAlign w:val="bottom"/>
            <w:gridSpan w:val="5"/>
          </w:tcPr>
          <w:p>
            <w:pPr>
              <w:spacing w:after="0"/>
              <w:rPr>
                <w:sz w:val="20"/>
                <w:szCs w:val="20"/>
                <w:color w:val="auto"/>
              </w:rPr>
            </w:pPr>
            <w:r>
              <w:rPr>
                <w:rFonts w:ascii="Arial" w:cs="Arial" w:eastAsia="Arial" w:hAnsi="Arial"/>
                <w:sz w:val="14"/>
                <w:szCs w:val="14"/>
                <w:color w:val="auto"/>
                <w:w w:val="90"/>
              </w:rPr>
              <w:t>Three months ended June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spacing w:after="0"/>
              <w:rPr>
                <w:sz w:val="20"/>
                <w:szCs w:val="20"/>
                <w:color w:val="auto"/>
              </w:rPr>
            </w:pPr>
            <w:r>
              <w:rPr>
                <w:rFonts w:ascii="Arial" w:cs="Arial" w:eastAsia="Arial" w:hAnsi="Arial"/>
                <w:sz w:val="14"/>
                <w:szCs w:val="14"/>
                <w:color w:val="auto"/>
                <w:w w:val="96"/>
              </w:rPr>
              <w:t>Nine months ended June 30,</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8"/>
              </w:rPr>
              <w:t>incr.</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color w:val="auto"/>
              </w:rPr>
              <w:t>incr.</w:t>
            </w:r>
          </w:p>
        </w:tc>
        <w:tc>
          <w:tcPr>
            <w:tcW w:w="0" w:type="dxa"/>
            <w:vAlign w:val="bottom"/>
          </w:tcPr>
          <w:p>
            <w:pPr>
              <w:spacing w:after="0"/>
              <w:rPr>
                <w:sz w:val="1"/>
                <w:szCs w:val="1"/>
                <w:color w:val="auto"/>
              </w:rPr>
            </w:pPr>
          </w:p>
        </w:tc>
      </w:tr>
      <w:tr>
        <w:trPr>
          <w:trHeight w:val="123"/>
        </w:trPr>
        <w:tc>
          <w:tcPr>
            <w:tcW w:w="4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40" w:type="dxa"/>
            <w:vAlign w:val="bottom"/>
          </w:tcPr>
          <w:p>
            <w:pPr>
              <w:jc w:val="right"/>
              <w:ind w:right="3008"/>
              <w:spacing w:after="0"/>
              <w:rPr>
                <w:sz w:val="20"/>
                <w:szCs w:val="20"/>
                <w:color w:val="auto"/>
              </w:rPr>
            </w:pPr>
            <w:r>
              <w:rPr>
                <w:rFonts w:ascii="Arial" w:cs="Arial" w:eastAsia="Arial" w:hAnsi="Arial"/>
                <w:sz w:val="14"/>
                <w:szCs w:val="14"/>
                <w:color w:val="auto"/>
                <w:w w:val="93"/>
              </w:rPr>
              <w:t>($ in thousands)</w:t>
            </w:r>
          </w:p>
        </w:tc>
        <w:tc>
          <w:tcPr>
            <w:tcW w:w="16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(decr.)</w:t>
            </w:r>
          </w:p>
        </w:tc>
        <w:tc>
          <w:tcPr>
            <w:tcW w:w="10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(decr.)</w:t>
            </w:r>
          </w:p>
        </w:tc>
        <w:tc>
          <w:tcPr>
            <w:tcW w:w="0" w:type="dxa"/>
            <w:vAlign w:val="bottom"/>
          </w:tcPr>
          <w:p>
            <w:pPr>
              <w:spacing w:after="0"/>
              <w:rPr>
                <w:sz w:val="1"/>
                <w:szCs w:val="1"/>
                <w:color w:val="auto"/>
              </w:rPr>
            </w:pPr>
          </w:p>
        </w:tc>
      </w:tr>
      <w:tr>
        <w:trPr>
          <w:trHeight w:val="202"/>
        </w:trPr>
        <w:tc>
          <w:tcPr>
            <w:tcW w:w="4040" w:type="dxa"/>
            <w:vAlign w:val="bottom"/>
            <w:tcBorders>
              <w:top w:val="single" w:sz="8" w:color="auto"/>
            </w:tcBorders>
            <w:shd w:val="clear" w:color="auto" w:fill="CCEEFF"/>
          </w:tcPr>
          <w:p>
            <w:pPr>
              <w:jc w:val="right"/>
              <w:ind w:right="2408"/>
              <w:spacing w:after="0"/>
              <w:rPr>
                <w:sz w:val="20"/>
                <w:szCs w:val="20"/>
                <w:color w:val="auto"/>
              </w:rPr>
            </w:pPr>
            <w:r>
              <w:rPr>
                <w:rFonts w:ascii="Arial" w:cs="Arial" w:eastAsia="Arial" w:hAnsi="Arial"/>
                <w:sz w:val="14"/>
                <w:szCs w:val="14"/>
                <w:b w:val="1"/>
                <w:bCs w:val="1"/>
                <w:color w:val="auto"/>
                <w:w w:val="93"/>
              </w:rPr>
              <w:t>Operating Income (Loss)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40" w:type="dxa"/>
            <w:vAlign w:val="bottom"/>
          </w:tcPr>
          <w:p>
            <w:pPr>
              <w:jc w:val="right"/>
              <w:ind w:right="2408"/>
              <w:spacing w:after="0"/>
              <w:rPr>
                <w:sz w:val="20"/>
                <w:szCs w:val="20"/>
                <w:color w:val="auto"/>
              </w:rPr>
            </w:pPr>
            <w:r>
              <w:rPr>
                <w:rFonts w:ascii="Arial" w:cs="Arial" w:eastAsia="Arial" w:hAnsi="Arial"/>
                <w:sz w:val="14"/>
                <w:szCs w:val="14"/>
                <w:color w:val="auto"/>
              </w:rPr>
              <w:t>IoT Products &amp; Services</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12,096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10,881</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1,215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260"/>
              <w:spacing w:after="0"/>
              <w:rPr>
                <w:sz w:val="20"/>
                <w:szCs w:val="20"/>
                <w:color w:val="auto"/>
              </w:rPr>
            </w:pPr>
            <w:r>
              <w:rPr>
                <w:rFonts w:ascii="Arial" w:cs="Arial" w:eastAsia="Arial" w:hAnsi="Arial"/>
                <w:sz w:val="14"/>
                <w:szCs w:val="14"/>
                <w:color w:val="auto"/>
              </w:rPr>
              <w:t>37,744</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ind w:left="160"/>
              <w:spacing w:after="0"/>
              <w:rPr>
                <w:sz w:val="20"/>
                <w:szCs w:val="20"/>
                <w:color w:val="auto"/>
              </w:rPr>
            </w:pPr>
            <w:r>
              <w:rPr>
                <w:rFonts w:ascii="Arial" w:cs="Arial" w:eastAsia="Arial" w:hAnsi="Arial"/>
                <w:sz w:val="14"/>
                <w:szCs w:val="14"/>
                <w:color w:val="auto"/>
              </w:rPr>
              <w:t>24,046</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13,698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40" w:type="dxa"/>
            <w:vAlign w:val="bottom"/>
            <w:tcBorders>
              <w:bottom w:val="single" w:sz="8" w:color="CCEEFF"/>
            </w:tcBorders>
            <w:shd w:val="clear" w:color="auto" w:fill="CCEEFF"/>
          </w:tcPr>
          <w:p>
            <w:pPr>
              <w:jc w:val="right"/>
              <w:ind w:right="3028"/>
              <w:spacing w:after="0"/>
              <w:rPr>
                <w:sz w:val="20"/>
                <w:szCs w:val="20"/>
                <w:color w:val="auto"/>
              </w:rPr>
            </w:pPr>
            <w:r>
              <w:rPr>
                <w:rFonts w:ascii="Arial" w:cs="Arial" w:eastAsia="Arial" w:hAnsi="Arial"/>
                <w:sz w:val="14"/>
                <w:szCs w:val="14"/>
                <w:color w:val="auto"/>
              </w:rPr>
              <w:t>IoT Solutions</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1,287</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w w:val="99"/>
              </w:rPr>
              <w:t>(1,130)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w w:val="99"/>
              </w:rPr>
              <w:t>(2,709)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9"/>
        </w:trPr>
        <w:tc>
          <w:tcPr>
            <w:tcW w:w="4040" w:type="dxa"/>
            <w:vAlign w:val="bottom"/>
          </w:tcPr>
          <w:p>
            <w:pPr>
              <w:jc w:val="right"/>
              <w:ind w:right="2748"/>
              <w:spacing w:after="0"/>
              <w:rPr>
                <w:sz w:val="20"/>
                <w:szCs w:val="20"/>
                <w:color w:val="auto"/>
              </w:rPr>
            </w:pPr>
            <w:r>
              <w:rPr>
                <w:rFonts w:ascii="Arial" w:cs="Arial" w:eastAsia="Arial" w:hAnsi="Arial"/>
                <w:sz w:val="14"/>
                <w:szCs w:val="14"/>
                <w:color w:val="auto"/>
              </w:rPr>
              <w:t>Total gross profit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12,476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9,974</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2,502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260"/>
              <w:spacing w:after="0"/>
              <w:rPr>
                <w:sz w:val="20"/>
                <w:szCs w:val="20"/>
                <w:color w:val="auto"/>
              </w:rPr>
            </w:pPr>
            <w:r>
              <w:rPr>
                <w:rFonts w:ascii="Arial" w:cs="Arial" w:eastAsia="Arial" w:hAnsi="Arial"/>
                <w:sz w:val="14"/>
                <w:szCs w:val="14"/>
                <w:color w:val="auto"/>
              </w:rPr>
              <w:t>36,614</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ind w:left="160"/>
              <w:spacing w:after="0"/>
              <w:rPr>
                <w:sz w:val="20"/>
                <w:szCs w:val="20"/>
                <w:color w:val="auto"/>
              </w:rPr>
            </w:pPr>
            <w:r>
              <w:rPr>
                <w:rFonts w:ascii="Arial" w:cs="Arial" w:eastAsia="Arial" w:hAnsi="Arial"/>
                <w:sz w:val="14"/>
                <w:szCs w:val="14"/>
                <w:color w:val="auto"/>
              </w:rPr>
              <w:t>21,337</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15,277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NM means not meaningful</w:t>
      </w:r>
    </w:p>
    <w:p>
      <w:pPr>
        <w:spacing w:after="0" w:line="113" w:lineRule="exact"/>
        <w:rPr>
          <w:sz w:val="20"/>
          <w:szCs w:val="20"/>
          <w:color w:val="auto"/>
        </w:rPr>
      </w:pPr>
    </w:p>
    <w:p>
      <w:pPr>
        <w:ind w:right="500"/>
        <w:spacing w:after="0" w:line="461" w:lineRule="auto"/>
        <w:rPr>
          <w:sz w:val="20"/>
          <w:szCs w:val="20"/>
          <w:color w:val="auto"/>
        </w:rPr>
      </w:pPr>
      <w:r>
        <w:rPr>
          <w:rFonts w:ascii="Arial" w:cs="Arial" w:eastAsia="Arial" w:hAnsi="Arial"/>
          <w:sz w:val="18"/>
          <w:szCs w:val="18"/>
          <w:color w:val="auto"/>
        </w:rPr>
        <w:t>Drivers for the changes in operating income for the periods presented are described above in the revenue, gross profit and operating expenses details. OTHER EXPENSE,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Below are our other expenses, net and other expenses, net as a percentage of total revenue: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color w:val="auto"/>
                <w:w w:val="89"/>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6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color w:val="auto"/>
                <w:w w:val="92"/>
              </w:rPr>
              <w:t>Nine months ended 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right="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w:t>
            </w: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68"/>
              <w:spacing w:after="0" w:line="130" w:lineRule="exact"/>
              <w:rPr>
                <w:sz w:val="20"/>
                <w:szCs w:val="20"/>
                <w:color w:val="auto"/>
              </w:rPr>
            </w:pPr>
            <w:r>
              <w:rPr>
                <w:rFonts w:ascii="Arial" w:cs="Arial" w:eastAsia="Arial" w:hAnsi="Arial"/>
                <w:sz w:val="14"/>
                <w:szCs w:val="14"/>
                <w:color w:val="auto"/>
                <w:w w:val="98"/>
              </w:rPr>
              <w:t>incr.</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0"/>
              </w:rPr>
              <w:t>incr.</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ind w:right="68"/>
              <w:spacing w:after="0" w:line="130" w:lineRule="exact"/>
              <w:rPr>
                <w:sz w:val="20"/>
                <w:szCs w:val="20"/>
                <w:color w:val="auto"/>
              </w:rPr>
            </w:pPr>
            <w:r>
              <w:rPr>
                <w:rFonts w:ascii="Arial" w:cs="Arial" w:eastAsia="Arial" w:hAnsi="Arial"/>
                <w:sz w:val="14"/>
                <w:szCs w:val="14"/>
                <w:color w:val="auto"/>
                <w:w w:val="90"/>
              </w:rPr>
              <w:t>incr.</w:t>
            </w:r>
          </w:p>
        </w:tc>
        <w:tc>
          <w:tcPr>
            <w:tcW w:w="1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4"/>
                <w:szCs w:val="14"/>
                <w:color w:val="auto"/>
                <w:w w:val="98"/>
              </w:rPr>
              <w:t>incr.</w:t>
            </w:r>
          </w:p>
        </w:tc>
      </w:tr>
      <w:tr>
        <w:trPr>
          <w:trHeight w:val="154"/>
        </w:trPr>
        <w:tc>
          <w:tcPr>
            <w:tcW w:w="20" w:type="dxa"/>
            <w:vAlign w:val="bottom"/>
          </w:tcPr>
          <w:p>
            <w:pPr>
              <w:spacing w:after="0"/>
              <w:rPr>
                <w:sz w:val="13"/>
                <w:szCs w:val="13"/>
                <w:color w:val="auto"/>
              </w:rPr>
            </w:pPr>
          </w:p>
        </w:tc>
        <w:tc>
          <w:tcPr>
            <w:tcW w:w="1680" w:type="dxa"/>
            <w:vAlign w:val="bottom"/>
            <w:gridSpan w:val="2"/>
          </w:tcPr>
          <w:p>
            <w:pPr>
              <w:spacing w:after="0" w:line="154"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1020" w:type="dxa"/>
            <w:vAlign w:val="bottom"/>
            <w:gridSpan w:val="3"/>
          </w:tcPr>
          <w:p>
            <w:pPr>
              <w:jc w:val="right"/>
              <w:ind w:right="100"/>
              <w:spacing w:after="0" w:line="154" w:lineRule="exact"/>
              <w:rPr>
                <w:sz w:val="20"/>
                <w:szCs w:val="20"/>
                <w:color w:val="auto"/>
              </w:rPr>
            </w:pPr>
            <w:r>
              <w:rPr>
                <w:rFonts w:ascii="Arial" w:cs="Arial" w:eastAsia="Arial" w:hAnsi="Arial"/>
                <w:sz w:val="14"/>
                <w:szCs w:val="14"/>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right"/>
              <w:ind w:right="100"/>
              <w:spacing w:after="0" w:line="154" w:lineRule="exact"/>
              <w:rPr>
                <w:sz w:val="20"/>
                <w:szCs w:val="20"/>
                <w:color w:val="auto"/>
              </w:rPr>
            </w:pPr>
            <w:r>
              <w:rPr>
                <w:rFonts w:ascii="Arial" w:cs="Arial" w:eastAsia="Arial" w:hAnsi="Arial"/>
                <w:sz w:val="14"/>
                <w:szCs w:val="14"/>
                <w:color w:val="auto"/>
              </w:rPr>
              <w:t>2022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68"/>
              <w:spacing w:after="0" w:line="154" w:lineRule="exact"/>
              <w:rPr>
                <w:sz w:val="20"/>
                <w:szCs w:val="20"/>
                <w:color w:val="auto"/>
              </w:rPr>
            </w:pPr>
            <w:r>
              <w:rPr>
                <w:rFonts w:ascii="Arial" w:cs="Arial" w:eastAsia="Arial" w:hAnsi="Arial"/>
                <w:sz w:val="14"/>
                <w:szCs w:val="14"/>
                <w:color w:val="auto"/>
                <w:w w:val="93"/>
              </w:rPr>
              <w:t>(decr.)</w:t>
            </w:r>
          </w:p>
        </w:tc>
        <w:tc>
          <w:tcPr>
            <w:tcW w:w="100" w:type="dxa"/>
            <w:vAlign w:val="bottom"/>
          </w:tcPr>
          <w:p>
            <w:pPr>
              <w:spacing w:after="0"/>
              <w:rPr>
                <w:sz w:val="13"/>
                <w:szCs w:val="13"/>
                <w:color w:val="auto"/>
              </w:rPr>
            </w:pPr>
          </w:p>
        </w:tc>
        <w:tc>
          <w:tcPr>
            <w:tcW w:w="70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88"/>
              </w:rPr>
              <w:t>(decr.)</w:t>
            </w:r>
          </w:p>
        </w:tc>
        <w:tc>
          <w:tcPr>
            <w:tcW w:w="1020" w:type="dxa"/>
            <w:vAlign w:val="bottom"/>
            <w:gridSpan w:val="3"/>
          </w:tcPr>
          <w:p>
            <w:pPr>
              <w:jc w:val="right"/>
              <w:ind w:right="100"/>
              <w:spacing w:after="0" w:line="154" w:lineRule="exact"/>
              <w:rPr>
                <w:sz w:val="20"/>
                <w:szCs w:val="20"/>
                <w:color w:val="auto"/>
              </w:rPr>
            </w:pPr>
            <w:r>
              <w:rPr>
                <w:rFonts w:ascii="Arial" w:cs="Arial" w:eastAsia="Arial" w:hAnsi="Arial"/>
                <w:sz w:val="14"/>
                <w:szCs w:val="14"/>
                <w:color w:val="auto"/>
              </w:rPr>
              <w:t>2023</w:t>
            </w:r>
          </w:p>
        </w:tc>
        <w:tc>
          <w:tcPr>
            <w:tcW w:w="540" w:type="dxa"/>
            <w:vAlign w:val="bottom"/>
          </w:tcPr>
          <w:p>
            <w:pPr>
              <w:spacing w:after="0"/>
              <w:rPr>
                <w:sz w:val="13"/>
                <w:szCs w:val="13"/>
                <w:color w:val="auto"/>
              </w:rPr>
            </w:pPr>
          </w:p>
        </w:tc>
        <w:tc>
          <w:tcPr>
            <w:tcW w:w="1120" w:type="dxa"/>
            <w:vAlign w:val="bottom"/>
            <w:gridSpan w:val="4"/>
          </w:tcPr>
          <w:p>
            <w:pPr>
              <w:jc w:val="right"/>
              <w:ind w:right="120"/>
              <w:spacing w:after="0" w:line="154" w:lineRule="exact"/>
              <w:rPr>
                <w:sz w:val="20"/>
                <w:szCs w:val="20"/>
                <w:color w:val="auto"/>
              </w:rPr>
            </w:pPr>
            <w:r>
              <w:rPr>
                <w:rFonts w:ascii="Arial" w:cs="Arial" w:eastAsia="Arial" w:hAnsi="Arial"/>
                <w:sz w:val="14"/>
                <w:szCs w:val="14"/>
                <w:color w:val="auto"/>
              </w:rPr>
              <w:t>2022</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68"/>
              <w:spacing w:after="0" w:line="154" w:lineRule="exact"/>
              <w:rPr>
                <w:sz w:val="20"/>
                <w:szCs w:val="20"/>
                <w:color w:val="auto"/>
              </w:rPr>
            </w:pPr>
            <w:r>
              <w:rPr>
                <w:rFonts w:ascii="Arial" w:cs="Arial" w:eastAsia="Arial" w:hAnsi="Arial"/>
                <w:sz w:val="14"/>
                <w:szCs w:val="14"/>
                <w:color w:val="auto"/>
                <w:w w:val="88"/>
              </w:rPr>
              <w:t>(decr.)</w:t>
            </w:r>
          </w:p>
        </w:tc>
        <w:tc>
          <w:tcPr>
            <w:tcW w:w="1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4"/>
                <w:szCs w:val="14"/>
                <w:color w:val="auto"/>
                <w:w w:val="93"/>
              </w:rPr>
              <w:t>(decr.)</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expense, net</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720" w:type="dxa"/>
            <w:vAlign w:val="bottom"/>
          </w:tcPr>
          <w:p>
            <w:pPr>
              <w:jc w:val="right"/>
              <w:spacing w:after="0"/>
              <w:rPr>
                <w:sz w:val="20"/>
                <w:szCs w:val="20"/>
                <w:color w:val="auto"/>
              </w:rPr>
            </w:pPr>
            <w:r>
              <w:rPr>
                <w:rFonts w:ascii="Arial" w:cs="Arial" w:eastAsia="Arial" w:hAnsi="Arial"/>
                <w:sz w:val="14"/>
                <w:szCs w:val="14"/>
                <w:color w:val="auto"/>
              </w:rPr>
              <w:t>(6,603)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(14,657)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(4,310)</w:t>
            </w:r>
          </w:p>
        </w:tc>
        <w:tc>
          <w:tcPr>
            <w:tcW w:w="720" w:type="dxa"/>
            <w:vAlign w:val="bottom"/>
            <w:gridSpan w:val="2"/>
          </w:tcPr>
          <w:p>
            <w:pPr>
              <w:jc w:val="right"/>
              <w:ind w:right="8"/>
              <w:spacing w:after="0"/>
              <w:rPr>
                <w:sz w:val="20"/>
                <w:szCs w:val="20"/>
                <w:color w:val="auto"/>
              </w:rPr>
            </w:pPr>
            <w:r>
              <w:rPr>
                <w:rFonts w:ascii="Arial" w:cs="Arial" w:eastAsia="Arial" w:hAnsi="Arial"/>
                <w:sz w:val="14"/>
                <w:szCs w:val="14"/>
                <w:color w:val="auto"/>
              </w:rPr>
              <w:t>29.4</w:t>
            </w: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expense, net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NM</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202"/>
        </w:trPr>
        <w:tc>
          <w:tcPr>
            <w:tcW w:w="2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Total other expense, net</w:t>
            </w:r>
          </w:p>
        </w:tc>
        <w:tc>
          <w:tcPr>
            <w:tcW w:w="720" w:type="dxa"/>
            <w:vAlign w:val="bottom"/>
          </w:tcPr>
          <w:p>
            <w:pPr>
              <w:jc w:val="right"/>
              <w:spacing w:after="0"/>
              <w:rPr>
                <w:sz w:val="20"/>
                <w:szCs w:val="20"/>
                <w:color w:val="auto"/>
              </w:rPr>
            </w:pPr>
            <w:r>
              <w:rPr>
                <w:rFonts w:ascii="Arial" w:cs="Arial" w:eastAsia="Arial" w:hAnsi="Arial"/>
                <w:sz w:val="14"/>
                <w:szCs w:val="14"/>
                <w:color w:val="auto"/>
              </w:rPr>
              <w:t>$   (6,588)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(5,392)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(1,196)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(18,888)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(14,716)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(4,172)</w:t>
            </w:r>
          </w:p>
        </w:tc>
        <w:tc>
          <w:tcPr>
            <w:tcW w:w="720" w:type="dxa"/>
            <w:vAlign w:val="bottom"/>
            <w:gridSpan w:val="2"/>
          </w:tcPr>
          <w:p>
            <w:pPr>
              <w:jc w:val="right"/>
              <w:ind w:right="8"/>
              <w:spacing w:after="0"/>
              <w:rPr>
                <w:sz w:val="20"/>
                <w:szCs w:val="20"/>
                <w:color w:val="auto"/>
              </w:rPr>
            </w:pPr>
            <w:r>
              <w:rPr>
                <w:rFonts w:ascii="Arial" w:cs="Arial" w:eastAsia="Arial" w:hAnsi="Arial"/>
                <w:sz w:val="14"/>
                <w:szCs w:val="14"/>
                <w:color w:val="auto"/>
              </w:rPr>
              <w:t>28.4</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NM means not meaningful</w:t>
      </w:r>
    </w:p>
    <w:p>
      <w:pPr>
        <w:spacing w:after="0" w:line="19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 xml:space="preserve">Other expense, net, increased $1.2 million for the three months ended June 30, 2023, as compared to the same period in the prior fiscal year. Other expense, net, increased $4.2 million for the nine months ended June 30, 2023, as compared to the same period in the prior fiscal year. The increases were primarily a result of an increase in our interest expense due to an increase in our effective interest rate (see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to the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to the condensed consolidated financial statements for discussion of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KEY BUSINESS METRIC</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INFORMATION</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Below are reconciliations from GAAP to non-GAAP information that we feel is important to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6"/>
                <w:szCs w:val="16"/>
                <w:color w:val="auto"/>
                <w:w w:val="90"/>
              </w:rPr>
              <w:t>Three months ended 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w w:val="91"/>
              </w:rPr>
              <w:t>Nine months ended June 30,</w:t>
            </w:r>
          </w:p>
        </w:tc>
        <w:tc>
          <w:tcPr>
            <w:tcW w:w="900" w:type="dxa"/>
            <w:vAlign w:val="bottom"/>
            <w:tcBorders>
              <w:bottom w:val="single" w:sz="8" w:color="auto"/>
            </w:tcBorders>
          </w:tcPr>
          <w:p>
            <w:pPr>
              <w:spacing w:after="0"/>
              <w:rPr>
                <w:sz w:val="18"/>
                <w:szCs w:val="18"/>
                <w:color w:val="auto"/>
              </w:rPr>
            </w:pPr>
          </w:p>
        </w:tc>
      </w:tr>
      <w:tr>
        <w:trPr>
          <w:trHeight w:val="210"/>
        </w:trPr>
        <w:tc>
          <w:tcPr>
            <w:tcW w:w="3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2022</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color w:val="auto"/>
                <w:w w:val="89"/>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color w:val="auto"/>
              </w:rPr>
              <w:t>2022</w:t>
            </w:r>
          </w:p>
        </w:tc>
      </w:tr>
      <w:tr>
        <w:trPr>
          <w:trHeight w:val="162"/>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79"/>
              <w:spacing w:after="0" w:line="162" w:lineRule="exact"/>
              <w:rPr>
                <w:sz w:val="20"/>
                <w:szCs w:val="20"/>
                <w:color w:val="auto"/>
              </w:rPr>
            </w:pPr>
            <w:r>
              <w:rPr>
                <w:rFonts w:ascii="Arial" w:cs="Arial" w:eastAsia="Arial" w:hAnsi="Arial"/>
                <w:sz w:val="16"/>
                <w:szCs w:val="16"/>
                <w:color w:val="auto"/>
                <w:w w:val="92"/>
              </w:rPr>
              <w:t>% of total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9"/>
              <w:spacing w:after="0" w:line="162" w:lineRule="exact"/>
              <w:rPr>
                <w:sz w:val="20"/>
                <w:szCs w:val="20"/>
                <w:color w:val="auto"/>
              </w:rPr>
            </w:pPr>
            <w:r>
              <w:rPr>
                <w:rFonts w:ascii="Arial" w:cs="Arial" w:eastAsia="Arial" w:hAnsi="Arial"/>
                <w:sz w:val="16"/>
                <w:szCs w:val="16"/>
                <w:color w:val="auto"/>
                <w:w w:val="92"/>
              </w:rPr>
              <w:t>% of total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9"/>
              <w:spacing w:after="0" w:line="162" w:lineRule="exact"/>
              <w:rPr>
                <w:sz w:val="20"/>
                <w:szCs w:val="20"/>
                <w:color w:val="auto"/>
              </w:rPr>
            </w:pPr>
            <w:r>
              <w:rPr>
                <w:rFonts w:ascii="Arial" w:cs="Arial" w:eastAsia="Arial" w:hAnsi="Arial"/>
                <w:sz w:val="16"/>
                <w:szCs w:val="16"/>
                <w:color w:val="auto"/>
              </w:rPr>
              <w:t>% of 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9"/>
              <w:spacing w:after="0" w:line="162" w:lineRule="exact"/>
              <w:rPr>
                <w:sz w:val="20"/>
                <w:szCs w:val="20"/>
                <w:color w:val="auto"/>
              </w:rPr>
            </w:pPr>
            <w:r>
              <w:rPr>
                <w:rFonts w:ascii="Arial" w:cs="Arial" w:eastAsia="Arial" w:hAnsi="Arial"/>
                <w:sz w:val="16"/>
                <w:szCs w:val="16"/>
                <w:color w:val="auto"/>
              </w:rPr>
              <w:t>% of total</w:t>
            </w:r>
          </w:p>
        </w:tc>
      </w:tr>
      <w:tr>
        <w:trPr>
          <w:trHeight w:val="209"/>
        </w:trPr>
        <w:tc>
          <w:tcPr>
            <w:tcW w:w="3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revenue</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332,686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282,487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14,657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25,393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Restructuring charge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expense</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4,256</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09"/>
        </w:trPr>
        <w:tc>
          <w:tcPr>
            <w:tcW w:w="3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21.7 %</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20.3 %</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71,559</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21.5 %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57,543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20.4 %</w:t>
            </w:r>
          </w:p>
        </w:tc>
      </w:tr>
      <w:tr>
        <w:trPr>
          <w:trHeight w:val="21"/>
        </w:trPr>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line="290" w:lineRule="auto"/>
        <w:rPr>
          <w:sz w:val="20"/>
          <w:szCs w:val="20"/>
          <w:color w:val="auto"/>
        </w:rPr>
      </w:pPr>
      <w:r>
        <w:rPr>
          <w:rFonts w:ascii="Arial" w:cs="Arial" w:eastAsia="Arial" w:hAnsi="Arial"/>
          <w:sz w:val="16"/>
          <w:szCs w:val="16"/>
          <w:color w:val="auto"/>
        </w:rPr>
        <w:t>Net income and net income per diluted share Amortization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non-operating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Restructuring charge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net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Tax effect from the above adjustments </w:t>
      </w:r>
      <w:r>
        <w:rPr>
          <w:rFonts w:ascii="Arial" w:cs="Arial" w:eastAsia="Arial" w:hAnsi="Arial"/>
          <w:sz w:val="20"/>
          <w:szCs w:val="20"/>
          <w:color w:val="auto"/>
          <w:vertAlign w:val="superscript"/>
        </w:rPr>
        <w:t>(1)</w:t>
      </w:r>
    </w:p>
    <w:p>
      <w:pPr>
        <w:ind w:left="20"/>
        <w:spacing w:after="0" w:line="206" w:lineRule="auto"/>
        <w:rPr>
          <w:sz w:val="20"/>
          <w:szCs w:val="20"/>
          <w:color w:val="auto"/>
        </w:rPr>
      </w:pPr>
      <w:r>
        <w:rPr>
          <w:rFonts w:ascii="Arial" w:cs="Arial" w:eastAsia="Arial" w:hAnsi="Arial"/>
          <w:sz w:val="16"/>
          <w:szCs w:val="16"/>
          <w:color w:val="auto"/>
        </w:rPr>
        <w:t xml:space="preserve">Discrete tax expenses (benefits)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080"/>
        <w:spacing w:after="0" w:line="266" w:lineRule="auto"/>
        <w:rPr>
          <w:sz w:val="20"/>
          <w:szCs w:val="20"/>
          <w:color w:val="auto"/>
        </w:rPr>
      </w:pPr>
      <w:r>
        <w:rPr>
          <w:rFonts w:ascii="Arial" w:cs="Arial" w:eastAsia="Arial" w:hAnsi="Arial"/>
          <w:sz w:val="18"/>
          <w:szCs w:val="18"/>
          <w:b w:val="1"/>
          <w:bCs w:val="1"/>
          <w:color w:val="auto"/>
        </w:rPr>
        <w:t xml:space="preserve">Reconciliation of Net Income and Net Income per Diluted Share to Adjusted Net Income and Adjusted Net Income per Diluted Share </w:t>
      </w:r>
      <w:r>
        <w:rPr>
          <w:rFonts w:ascii="Arial" w:cs="Arial" w:eastAsia="Arial" w:hAnsi="Arial"/>
          <w:sz w:val="18"/>
          <w:szCs w:val="18"/>
          <w:color w:val="auto"/>
        </w:rPr>
        <w:t>(In thousands, except per share amounts)</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w w:val="90"/>
              </w:rPr>
              <w:t>Three months ended June 30,</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w w:val="91"/>
              </w:rPr>
              <w:t>Nine months ended June 30,</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2022</w:t>
            </w:r>
          </w:p>
        </w:tc>
        <w:tc>
          <w:tcPr>
            <w:tcW w:w="600" w:type="dxa"/>
            <w:vAlign w:val="bottom"/>
            <w:tcBorders>
              <w:bottom w:val="single" w:sz="8" w:color="auto"/>
            </w:tcBorders>
          </w:tcPr>
          <w:p>
            <w:pPr>
              <w:spacing w:after="0"/>
              <w:rPr>
                <w:sz w:val="18"/>
                <w:szCs w:val="18"/>
                <w:color w:val="auto"/>
              </w:rPr>
            </w:pPr>
          </w:p>
        </w:tc>
      </w:tr>
      <w:tr>
        <w:trPr>
          <w:trHeight w:val="206"/>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6,727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4,126</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18,405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8,160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216"/>
        </w:trPr>
        <w:tc>
          <w:tcPr>
            <w:tcW w:w="2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6,252</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7,046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18,966</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20,400</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16"/>
        </w:trPr>
        <w:tc>
          <w:tcPr>
            <w:tcW w:w="2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3,519</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2,143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9,852</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6,402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216"/>
        </w:trPr>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96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910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4,256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0.12</w:t>
            </w:r>
          </w:p>
        </w:tc>
      </w:tr>
      <w:tr>
        <w:trPr>
          <w:trHeight w:val="216"/>
        </w:trPr>
        <w:tc>
          <w:tcPr>
            <w:tcW w:w="2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6"/>
        </w:trPr>
        <w:tc>
          <w:tcPr>
            <w:tcW w:w="2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6,603</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5,296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18,967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14,657</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0.40</w:t>
            </w:r>
          </w:p>
        </w:tc>
      </w:tr>
      <w:tr>
        <w:trPr>
          <w:trHeight w:val="216"/>
        </w:trPr>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(6,025)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(2,497)</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(15,520)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(8,263)</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216"/>
        </w:trPr>
        <w:tc>
          <w:tcPr>
            <w:tcW w:w="2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1,125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2,874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-1238885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-955675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-681355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-407035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-132715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920" w:space="160"/>
            <w:col w:w="8160"/>
          </w:cols>
          <w:pgMar w:left="320" w:top="301" w:right="33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3540" w:type="dxa"/>
            <w:vAlign w:val="bottom"/>
          </w:tcPr>
          <w:p>
            <w:pPr>
              <w:ind w:left="20"/>
              <w:spacing w:after="0" w:line="146" w:lineRule="exact"/>
              <w:rPr>
                <w:sz w:val="20"/>
                <w:szCs w:val="20"/>
                <w:color w:val="auto"/>
              </w:rPr>
            </w:pPr>
            <w:r>
              <w:rPr>
                <w:rFonts w:ascii="Arial" w:cs="Arial" w:eastAsia="Arial" w:hAnsi="Arial"/>
                <w:sz w:val="16"/>
                <w:szCs w:val="16"/>
                <w:color w:val="auto"/>
                <w:w w:val="99"/>
              </w:rPr>
              <w:t>Adjusted net income and adjusted net income per</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18,503</w:t>
            </w:r>
          </w:p>
        </w:tc>
        <w:tc>
          <w:tcPr>
            <w:tcW w:w="120" w:type="dxa"/>
            <w:vAlign w:val="bottom"/>
            <w:vMerge w:val="restart"/>
          </w:tcPr>
          <w:p>
            <w:pPr>
              <w:spacing w:after="0"/>
              <w:rPr>
                <w:sz w:val="12"/>
                <w:szCs w:val="12"/>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0.50</w:t>
            </w:r>
          </w:p>
        </w:tc>
        <w:tc>
          <w:tcPr>
            <w:tcW w:w="100" w:type="dxa"/>
            <w:vAlign w:val="bottom"/>
            <w:vMerge w:val="restart"/>
          </w:tcPr>
          <w:p>
            <w:pPr>
              <w:spacing w:after="0"/>
              <w:rPr>
                <w:sz w:val="12"/>
                <w:szCs w:val="12"/>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15,934</w:t>
            </w:r>
          </w:p>
        </w:tc>
        <w:tc>
          <w:tcPr>
            <w:tcW w:w="120" w:type="dxa"/>
            <w:vAlign w:val="bottom"/>
            <w:vMerge w:val="restart"/>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0.45</w:t>
            </w:r>
          </w:p>
        </w:tc>
        <w:tc>
          <w:tcPr>
            <w:tcW w:w="100" w:type="dxa"/>
            <w:vAlign w:val="bottom"/>
            <w:vMerge w:val="restart"/>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54,516</w:t>
            </w:r>
          </w:p>
        </w:tc>
        <w:tc>
          <w:tcPr>
            <w:tcW w:w="120" w:type="dxa"/>
            <w:vAlign w:val="bottom"/>
            <w:vMerge w:val="restart"/>
          </w:tcPr>
          <w:p>
            <w:pPr>
              <w:spacing w:after="0"/>
              <w:rPr>
                <w:sz w:val="12"/>
                <w:szCs w:val="12"/>
                <w:color w:val="auto"/>
              </w:rPr>
            </w:pPr>
          </w:p>
        </w:tc>
        <w:tc>
          <w:tcPr>
            <w:tcW w:w="24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1.48</w:t>
            </w:r>
          </w:p>
        </w:tc>
        <w:tc>
          <w:tcPr>
            <w:tcW w:w="120" w:type="dxa"/>
            <w:vAlign w:val="bottom"/>
            <w:vMerge w:val="restart"/>
          </w:tcPr>
          <w:p>
            <w:pPr>
              <w:spacing w:after="0"/>
              <w:rPr>
                <w:sz w:val="12"/>
                <w:szCs w:val="12"/>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43,139</w:t>
            </w:r>
          </w:p>
        </w:tc>
        <w:tc>
          <w:tcPr>
            <w:tcW w:w="120" w:type="dxa"/>
            <w:vAlign w:val="bottom"/>
            <w:vMerge w:val="restart"/>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0"/>
        </w:trPr>
        <w:tc>
          <w:tcPr>
            <w:tcW w:w="3540" w:type="dxa"/>
            <w:vAlign w:val="bottom"/>
          </w:tcPr>
          <w:p>
            <w:pPr>
              <w:ind w:left="20"/>
              <w:spacing w:after="0" w:line="186" w:lineRule="exact"/>
              <w:rPr>
                <w:sz w:val="20"/>
                <w:szCs w:val="20"/>
                <w:color w:val="auto"/>
              </w:rPr>
            </w:pPr>
            <w:r>
              <w:rPr>
                <w:rFonts w:ascii="Arial" w:cs="Arial" w:eastAsia="Arial" w:hAnsi="Arial"/>
                <w:sz w:val="16"/>
                <w:szCs w:val="16"/>
                <w:color w:val="auto"/>
              </w:rPr>
              <w:t xml:space="preserve">diluted share </w:t>
            </w:r>
            <w:r>
              <w:rPr>
                <w:rFonts w:ascii="Arial" w:cs="Arial" w:eastAsia="Arial" w:hAnsi="Arial"/>
                <w:sz w:val="21"/>
                <w:szCs w:val="21"/>
                <w:color w:val="auto"/>
                <w:vertAlign w:val="superscript"/>
              </w:rPr>
              <w:t>(3)</w:t>
            </w:r>
          </w:p>
        </w:tc>
        <w:tc>
          <w:tcPr>
            <w:tcW w:w="2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tax effect from the above adjustments assumes an estimated effective tax rate of 18.0% for fiscal 2023 and fiscal 2022 based on adjusted net income.</w:t>
      </w:r>
    </w:p>
    <w:p>
      <w:pPr>
        <w:spacing w:after="0" w:line="30" w:lineRule="exact"/>
        <w:rPr>
          <w:rFonts w:ascii="Arial" w:cs="Arial" w:eastAsia="Arial" w:hAnsi="Arial"/>
          <w:sz w:val="15"/>
          <w:szCs w:val="15"/>
          <w:color w:val="auto"/>
        </w:rPr>
      </w:pPr>
    </w:p>
    <w:p>
      <w:pPr>
        <w:ind w:left="340" w:right="340" w:hanging="332"/>
        <w:spacing w:after="0" w:line="25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three and nine months ended June 30, 2023 and 2022, discrete tax expenses (benefits) primarily are a result of changes in excess tax benefits recognized on stock compensation.</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net income per diluted share may not add due to the use of rounded numbers.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December 2, 2021, we entered into a third amended and restated credit agreement.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 The credit agreement consists of a $350 million term loan B secured loan and a $35 million revolving credit facility. The $35 million revolving credit facility, which presently has no outstanding balance, includes a $10 million letter of credit subfacility and $10 million swingline subfacility. During the first quarter of fiscal 2022, we repaid all outstanding balances under the credit facility entered into on March 21, 2021. As of June 30, 2023, $35.0 million remained available under the Revolving Loan, which included $10 million available for a letter of credit subfacility and $10 million available under a swingline subfacility, the outstanding amounts of which decrease the available commitment. For additional information regarding the terms of our Credit Facility, including the Revolving Loan and its subfacilities,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to our condensed consolidated financial statements.</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statements of cash flows for the nine months ended June 30, 2023 and 2022 is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right"/>
              <w:ind w:right="468"/>
              <w:spacing w:after="0"/>
              <w:rPr>
                <w:sz w:val="20"/>
                <w:szCs w:val="20"/>
                <w:color w:val="auto"/>
              </w:rPr>
            </w:pPr>
            <w:r>
              <w:rPr>
                <w:rFonts w:ascii="Arial" w:cs="Arial" w:eastAsia="Arial" w:hAnsi="Arial"/>
                <w:sz w:val="14"/>
                <w:szCs w:val="14"/>
                <w:color w:val="auto"/>
              </w:rPr>
              <w:t>Nine months ended June 30,</w:t>
            </w:r>
          </w:p>
        </w:tc>
      </w:tr>
      <w:tr>
        <w:trPr>
          <w:trHeight w:val="26"/>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28"/>
              <w:spacing w:after="0"/>
              <w:rPr>
                <w:sz w:val="20"/>
                <w:szCs w:val="20"/>
                <w:color w:val="auto"/>
              </w:rPr>
            </w:pPr>
            <w:r>
              <w:rPr>
                <w:rFonts w:ascii="Arial" w:cs="Arial" w:eastAsia="Arial" w:hAnsi="Arial"/>
                <w:sz w:val="14"/>
                <w:szCs w:val="14"/>
                <w:color w:val="auto"/>
              </w:rPr>
              <w:t>2022</w:t>
            </w:r>
          </w:p>
        </w:tc>
      </w:tr>
      <w:tr>
        <w:trPr>
          <w:trHeight w:val="203"/>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Restated (1)</w:t>
            </w:r>
          </w:p>
        </w:tc>
      </w:tr>
      <w:tr>
        <w:trPr>
          <w:trHeight w:val="182"/>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27,804</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31,216</w:t>
            </w:r>
          </w:p>
        </w:tc>
      </w:tr>
      <w:tr>
        <w:trPr>
          <w:trHeight w:val="182"/>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(351,771)</w:t>
            </w: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208,551</w:t>
            </w:r>
          </w:p>
        </w:tc>
      </w:tr>
      <w:tr>
        <w:trPr>
          <w:trHeight w:val="196"/>
        </w:trPr>
        <w:tc>
          <w:tcPr>
            <w:tcW w:w="8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w:t>
            </w:r>
          </w:p>
        </w:tc>
      </w:tr>
      <w:tr>
        <w:trPr>
          <w:trHeight w:val="227"/>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(110,917)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340" w:right="72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We have restated the condensed consolidated statement of cash flows for the six months ended March 31, 2022. For additional information,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to our condensed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 decreased $3.4 million primarily as a result of:</w:t>
      </w:r>
    </w:p>
    <w:p>
      <w:pPr>
        <w:spacing w:after="0" w:line="185"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operating assets and liabilities (net of acquisitions) in the nine months ended June 30, 2023 of $17.3 million compared to an increase of $15.4 million in the nine months ended June 30, 2022,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decreases in the provisions for deferred income tax, provisions for bad debt and amortization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changes were partially offset by:</w:t>
      </w:r>
    </w:p>
    <w:p>
      <w:pPr>
        <w:spacing w:after="0" w:line="18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increases in net income and stock-based compensation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 decreased $347.9 million primarily as a result of:</w:t>
      </w:r>
    </w:p>
    <w:p>
      <w:pPr>
        <w:spacing w:after="0" w:line="185" w:lineRule="exact"/>
        <w:rPr>
          <w:sz w:val="20"/>
          <w:szCs w:val="20"/>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amounts used for the acquisition of businesses in the nine months ended June 30, 2023 compared to $347.6 million used for acquisitions in the nine months ended June 30, 2022, primarily related to our November 2021 acquisition of Ventus,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a $0.3 million decrease in purchases of property, equipment, improvements and certain other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 decreased $237.5 million primarily as a result of:</w:t>
      </w:r>
    </w:p>
    <w:p>
      <w:pPr>
        <w:spacing w:after="0" w:line="185" w:lineRule="exact"/>
        <w:rPr>
          <w:sz w:val="20"/>
          <w:szCs w:val="20"/>
          <w:color w:val="auto"/>
        </w:rPr>
      </w:pPr>
    </w:p>
    <w:p>
      <w:pPr>
        <w:ind w:left="660" w:right="3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proceeds from debt in the nine months ended June 30, 2023 compared to $350.0 million in proceeds from the Term Loan issued in the nine months ended June 30, 2022,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$3.5 million decrease in proceeds from stock issuances.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changes were partially offset by:</w:t>
      </w:r>
    </w:p>
    <w:p>
      <w:pPr>
        <w:spacing w:after="0" w:line="185" w:lineRule="exact"/>
        <w:rPr>
          <w:sz w:val="20"/>
          <w:szCs w:val="20"/>
          <w:color w:val="auto"/>
        </w:rPr>
      </w:pPr>
    </w:p>
    <w:p>
      <w:pPr>
        <w:ind w:left="660" w:right="3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debt payments of $29.4 million in the nine months ended June 30, 2023 compared to $129.4 million the nine months ended June 30, 2022 (see </w:t>
      </w:r>
      <w:r>
        <w:rPr>
          <w:rFonts w:ascii="Arial" w:cs="Arial" w:eastAsia="Arial" w:hAnsi="Arial"/>
          <w:sz w:val="18"/>
          <w:szCs w:val="18"/>
          <w:u w:val="single" w:color="auto"/>
          <w:color w:val="0000FF"/>
        </w:rPr>
        <w:t>Note 7</w:t>
      </w:r>
      <w:r>
        <w:rPr>
          <w:rFonts w:ascii="Arial" w:cs="Arial" w:eastAsia="Arial" w:hAnsi="Arial"/>
          <w:sz w:val="18"/>
          <w:szCs w:val="18"/>
          <w:color w:val="0000FF"/>
        </w:rPr>
        <w:t xml:space="preserve"> </w:t>
      </w:r>
      <w:r>
        <w:rPr>
          <w:rFonts w:ascii="Arial" w:cs="Arial" w:eastAsia="Arial" w:hAnsi="Arial"/>
          <w:sz w:val="18"/>
          <w:szCs w:val="18"/>
          <w:color w:val="000000"/>
        </w:rPr>
        <w:t>to the condensed consolidated financial statements),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$13.4 million in debt issuance cost payments,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$2.6 million decrease in taxes paid for net share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June 30, 2023:</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Payments due by fiscal period</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2"/>
        </w:trPr>
        <w:tc>
          <w:tcPr>
            <w:tcW w:w="526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26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w w:val="96"/>
              </w:rPr>
              <w:t>Less than 1 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1-3 years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w w:val="95"/>
              </w:rPr>
              <w:t>3-5 years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Thereafter</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21,432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2,455</w:t>
            </w:r>
          </w:p>
        </w:tc>
      </w:tr>
      <w:tr>
        <w:trPr>
          <w:trHeight w:val="186"/>
        </w:trPr>
        <w:tc>
          <w:tcPr>
            <w:tcW w:w="5260" w:type="dxa"/>
            <w:vAlign w:val="bottom"/>
            <w:gridSpan w:val="2"/>
          </w:tcPr>
          <w:p>
            <w:pPr>
              <w:ind w:left="20"/>
              <w:spacing w:after="0"/>
              <w:rPr>
                <w:sz w:val="20"/>
                <w:szCs w:val="20"/>
                <w:color w:val="auto"/>
              </w:rPr>
            </w:pPr>
            <w:r>
              <w:rPr>
                <w:rFonts w:ascii="Arial" w:cs="Arial" w:eastAsia="Arial" w:hAnsi="Arial"/>
                <w:sz w:val="14"/>
                <w:szCs w:val="14"/>
                <w:color w:val="auto"/>
              </w:rPr>
              <w:t>Term Loan</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220,625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133,125</w:t>
            </w:r>
          </w:p>
        </w:tc>
      </w:tr>
      <w:tr>
        <w:trPr>
          <w:trHeight w:val="20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on long-term debt</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95,144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37,991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30,615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4,430</w:t>
            </w:r>
          </w:p>
        </w:tc>
      </w:tr>
      <w:tr>
        <w:trPr>
          <w:trHeight w:val="196"/>
        </w:trPr>
        <w:tc>
          <w:tcPr>
            <w:tcW w:w="52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337,201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43,744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82,174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71,273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140,010</w:t>
            </w:r>
          </w:p>
        </w:tc>
      </w:tr>
      <w:tr>
        <w:trPr>
          <w:trHeight w:val="21"/>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operating lease agreements included above primarily relate to office space. The table above does not include possible payments for uncertain tax positions. Our reserve for uncertain tax positions, including accrued interest and penalties, was $2.8 million as of June 30, 2023.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on new accounting pronouncements, see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ongoing market risk related to changes in interest rates and foreign currency exchange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We are exposed to market risks related to fluctuations in interest rates on amounts borrowed under the Credit Facility. As of June 30, 2023, we had $220.6 million outstanding under our Term Loan.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0.50%, or the one-month LIBOR for U.S. dollars plus 1.00%. The applicable margin for loans under the Revolving Credit Facility is in a range of 4.00% to 3.75% for LIBOR loans and 3.00% to 2.75% for base rate loans, depending on Digi’s consolidated leverage ratio. Digi bases the interest period election on an assessment of the interest rate environment conducted on a monthly basis. Digi presently expects to continue to elect a one month interest period, unless conditions change. Based on the balance sheet position for the Revolving Loan at June 30, 2023, the annualized effect of a 25 basis point change in interest rates would increase or decrease our interest expense by $0.6 million. Following the discontinuation of LIBOR on June 30, 2023, borrowings under the Term Loan Facility will be subject to the Secured Overnight Financing Rate (SOFR). For additional information,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RISK</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4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 10% change in the average exchange rate for the Euro, British Pound, Australian Dollar and Canadian Dollar to the U.S. Dollar during the first nine months of fiscal 2023 would have resulted in a 1.0% increase or decrease in stockholders' equity due to foreign currency translation.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19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nine months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disclosure set forth in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to the condensed consolidated financial statements in Part I, Item 1 of this Form 10-Q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set forth below, there have been no material changes in our risk factors from those previously disclosed in Item 1A of Part I of our Annual Report on Form 10-K for the year ended September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parts of our business are subject to customer concentrations.</w:t>
      </w:r>
    </w:p>
    <w:p>
      <w:pPr>
        <w:spacing w:after="0" w:line="1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Several of our acquired businesses historically have depended on relationships with one or a small number of customers or have a significant number of customers that are from particular industries. Any disruption in their business with those customers, whether as a result of changes in demand for the customer’s services, adverse changes in the customer’s industry generally or other challenges in securing or renewing contracts, could have an adverse impact on our business, results of operations, financial condition and prospects.</w:t>
      </w:r>
    </w:p>
    <w:p>
      <w:pPr>
        <w:spacing w:after="0" w:line="1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example, we acquired Accelerated in fiscal 2018. Although Accelerated has many customers, its business historically has been highly dependent on its relationship with a single telecommunications carrier customer.</w:t>
      </w:r>
    </w:p>
    <w:p>
      <w:pPr>
        <w:spacing w:after="0" w:line="13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acquired Opengear in fiscal 2019. Although Opengear has many customers, its business historically has been significantly concentrated on its relationships with a few large customers.</w:t>
      </w:r>
    </w:p>
    <w:p>
      <w:pPr>
        <w:spacing w:after="0" w:line="13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acquired Ventus in fiscal 2022. Although Ventus has many customers, its business historically has been significantly concentrated on its relationships with fewer than twenty customers and it also serves a significant number of customers in the financial and gaming terminal industries. Likewise, our SmartSense business services a significant number of customers in the pharmaceutical, medical facility and retail food industries. Both Ventus and SmartSense produce significant ARR. Any disruption or difficulties in any of the industries these businesses serve could have an adverse impact on our business, results of operations (including, but not limited to, ARR), financial condition and prospects.</w:t>
      </w:r>
    </w:p>
    <w:p>
      <w:pPr>
        <w:spacing w:after="0" w:line="1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some larger customers may demand discounts and rebates. As a result, our future revenue opportunities with these customers may be limited, and we may face pricing pressures, which in turn could adversely impact our gross margin and our profitability. The loss of, reduction in, or pricing discounts associated with orders from key customers may significantly reduce our revenue and harm our business. Furthermore, delays in payment and/or extended payment terms from larger customers could have a disproportionate and material negative impact on our cash flows and working capital to support our business operations.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presents the information with respect to purchases made by or on behalf of Digi International Inc. or any "affiliated purchaser" (as defined in Rule 10b-18(a)(3) under the Securities Exchange Act of 1934), of our common stock during the third quarter of fiscal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0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w w:val="98"/>
              </w:rPr>
              <w:t>Maximum Dollar Value</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color w:val="auto"/>
                <w:w w:val="91"/>
              </w:rPr>
              <w:t>Average Price</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87"/>
              </w:rPr>
              <w:t>Purchased as Part of 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ind w:right="10"/>
              <w:spacing w:after="0" w:line="176" w:lineRule="exact"/>
              <w:rPr>
                <w:sz w:val="20"/>
                <w:szCs w:val="20"/>
                <w:color w:val="auto"/>
              </w:rPr>
            </w:pPr>
            <w:r>
              <w:rPr>
                <w:rFonts w:ascii="Arial" w:cs="Arial" w:eastAsia="Arial" w:hAnsi="Arial"/>
                <w:sz w:val="18"/>
                <w:szCs w:val="18"/>
                <w:color w:val="auto"/>
                <w:w w:val="88"/>
              </w:rPr>
              <w:t>of Shares that May Yet</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line="182" w:lineRule="exact"/>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8"/>
                <w:szCs w:val="18"/>
                <w:color w:val="auto"/>
                <w:w w:val="92"/>
              </w:rPr>
              <w:t>Publicly Announced</w:t>
            </w:r>
          </w:p>
        </w:tc>
        <w:tc>
          <w:tcPr>
            <w:tcW w:w="100" w:type="dxa"/>
            <w:vAlign w:val="bottom"/>
          </w:tcPr>
          <w:p>
            <w:pPr>
              <w:spacing w:after="0"/>
              <w:rPr>
                <w:sz w:val="15"/>
                <w:szCs w:val="15"/>
                <w:color w:val="auto"/>
              </w:rPr>
            </w:pPr>
          </w:p>
        </w:tc>
        <w:tc>
          <w:tcPr>
            <w:tcW w:w="186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1"/>
              </w:rPr>
              <w:t>Be Purchased Under the</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18"/>
                <w:szCs w:val="18"/>
                <w:color w:val="auto"/>
                <w:w w:val="83"/>
              </w:rPr>
              <w:t>Purchased</w:t>
            </w:r>
            <w:r>
              <w:rPr>
                <w:rFonts w:ascii="Arial" w:cs="Arial" w:eastAsia="Arial" w:hAnsi="Arial"/>
                <w:sz w:val="23"/>
                <w:szCs w:val="23"/>
                <w:color w:val="auto"/>
                <w:w w:val="83"/>
                <w:vertAlign w:val="superscript"/>
              </w:rPr>
              <w:t>(1)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Paid per Share</w:t>
            </w: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6,163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0"/>
                <w:szCs w:val="20"/>
                <w:color w:val="auto"/>
              </w:rPr>
            </w:pP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9"/>
                <w:szCs w:val="19"/>
                <w:color w:val="auto"/>
              </w:rPr>
            </w:pP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All shares reported were forfeited by employees in connection with the satisfaction of tax withholding obligations related to the vesting of restricted stock units.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June 30, 2023,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7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90"/>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17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rPr>
              <w:t>Exhibit No.</w:t>
            </w:r>
          </w:p>
        </w:tc>
        <w:tc>
          <w:tcPr>
            <w:tcW w:w="78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Description</w:t>
            </w:r>
          </w:p>
        </w:tc>
        <w:tc>
          <w:tcPr>
            <w:tcW w:w="1540" w:type="dxa"/>
            <w:vAlign w:val="bottom"/>
          </w:tcPr>
          <w:p>
            <w:pPr>
              <w:ind w:left="20"/>
              <w:spacing w:after="0"/>
              <w:rPr>
                <w:sz w:val="20"/>
                <w:szCs w:val="20"/>
                <w:color w:val="auto"/>
              </w:rPr>
            </w:pPr>
            <w:r>
              <w:rPr>
                <w:rFonts w:ascii="Arial" w:cs="Arial" w:eastAsia="Arial" w:hAnsi="Arial"/>
                <w:sz w:val="18"/>
                <w:szCs w:val="18"/>
                <w:color w:val="auto"/>
              </w:rPr>
              <w:t>Method of Filing</w:t>
            </w:r>
          </w:p>
        </w:tc>
      </w:tr>
      <w:tr>
        <w:trPr>
          <w:trHeight w:val="169"/>
        </w:trPr>
        <w:tc>
          <w:tcPr>
            <w:tcW w:w="9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76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(a)</w:t>
            </w:r>
          </w:p>
        </w:tc>
        <w:tc>
          <w:tcPr>
            <w:tcW w:w="7820" w:type="dxa"/>
            <w:vAlign w:val="bottom"/>
            <w:gridSpan w:val="8"/>
          </w:tcPr>
          <w:p>
            <w:pPr>
              <w:spacing w:after="0" w:line="169" w:lineRule="exact"/>
              <w:rPr>
                <w:sz w:val="20"/>
                <w:szCs w:val="20"/>
                <w:color w:val="auto"/>
              </w:rPr>
            </w:pPr>
            <w:r>
              <w:rPr>
                <w:rFonts w:ascii="Arial" w:cs="Arial" w:eastAsia="Arial" w:hAnsi="Arial"/>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Arial" w:cs="Arial" w:eastAsia="Arial" w:hAnsi="Arial"/>
                <w:sz w:val="18"/>
                <w:szCs w:val="18"/>
                <w:color w:val="auto"/>
                <w:w w:val="91"/>
              </w:rPr>
              <w:t>Incorporated by</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Reference</w:t>
            </w:r>
          </w:p>
        </w:tc>
      </w:tr>
      <w:tr>
        <w:trPr>
          <w:trHeight w:val="418"/>
        </w:trPr>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7820" w:type="dxa"/>
            <w:vAlign w:val="bottom"/>
            <w:gridSpan w:val="8"/>
          </w:tcPr>
          <w:p>
            <w:pPr>
              <w:spacing w:after="0"/>
              <w:rPr>
                <w:rFonts w:ascii="Arial" w:cs="Arial" w:eastAsia="Arial" w:hAnsi="Arial"/>
                <w:sz w:val="18"/>
                <w:szCs w:val="18"/>
                <w:color w:val="0000FF"/>
              </w:rPr>
            </w:pPr>
            <w:hyperlink r:id="rId61">
              <w:r>
                <w:rPr>
                  <w:rFonts w:ascii="Arial" w:cs="Arial" w:eastAsia="Arial" w:hAnsi="Arial"/>
                  <w:sz w:val="18"/>
                  <w:szCs w:val="18"/>
                  <w:color w:val="0000FF"/>
                </w:rPr>
                <w:t xml:space="preserve">Amended and Restated By-Laws of the Company </w:t>
              </w:r>
            </w:hyperlink>
            <w:r>
              <w:rPr>
                <w:rFonts w:ascii="Arial" w:cs="Arial" w:eastAsia="Arial" w:hAnsi="Arial"/>
                <w:sz w:val="18"/>
                <w:szCs w:val="18"/>
                <w:color w:val="000000"/>
              </w:rPr>
              <w:t>(2)</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Reference</w:t>
            </w:r>
          </w:p>
        </w:tc>
      </w:tr>
      <w:tr>
        <w:trPr>
          <w:trHeight w:val="242"/>
        </w:trPr>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7820" w:type="dxa"/>
            <w:vAlign w:val="bottom"/>
            <w:gridSpan w:val="8"/>
          </w:tcPr>
          <w:p>
            <w:pPr>
              <w:spacing w:after="0"/>
              <w:rPr>
                <w:rFonts w:ascii="Arial" w:cs="Arial" w:eastAsia="Arial" w:hAnsi="Arial"/>
                <w:sz w:val="18"/>
                <w:szCs w:val="18"/>
                <w:color w:val="0000FF"/>
              </w:rPr>
            </w:pPr>
            <w:hyperlink r:id="rId62">
              <w:r>
                <w:rPr>
                  <w:rFonts w:ascii="Arial" w:cs="Arial" w:eastAsia="Arial" w:hAnsi="Arial"/>
                  <w:sz w:val="18"/>
                  <w:szCs w:val="18"/>
                  <w:color w:val="0000FF"/>
                </w:rPr>
                <w:t xml:space="preserve">Digi International Inc. 2021 Omnibus Incentive Plan, as amended and restated </w:t>
              </w:r>
            </w:hyperlink>
            <w:r>
              <w:rPr>
                <w:rFonts w:ascii="Arial" w:cs="Arial" w:eastAsia="Arial" w:hAnsi="Arial"/>
                <w:sz w:val="18"/>
                <w:szCs w:val="18"/>
                <w:color w:val="000000"/>
              </w:rPr>
              <w:t>(3)</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11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Reference</w:t>
            </w:r>
          </w:p>
        </w:tc>
      </w:tr>
      <w:tr>
        <w:trPr>
          <w:trHeight w:val="242"/>
        </w:trPr>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7820" w:type="dxa"/>
            <w:vAlign w:val="bottom"/>
            <w:gridSpan w:val="8"/>
          </w:tcPr>
          <w:p>
            <w:pPr>
              <w:spacing w:after="0"/>
              <w:rPr>
                <w:sz w:val="20"/>
                <w:szCs w:val="20"/>
                <w:color w:val="auto"/>
              </w:rPr>
            </w:pPr>
            <w:r>
              <w:rPr>
                <w:rFonts w:ascii="Arial" w:cs="Arial" w:eastAsia="Arial" w:hAnsi="Arial"/>
                <w:sz w:val="18"/>
                <w:szCs w:val="18"/>
                <w:color w:val="0000FF"/>
                <w:w w:val="95"/>
              </w:rPr>
              <w:t>Form of (Executive) Performance Stock Unit Award Agreement (for grants under Digi International Inc.</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50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2021 Omnibus Incentive Plan)</w:t>
            </w:r>
          </w:p>
        </w:tc>
        <w:tc>
          <w:tcPr>
            <w:tcW w:w="3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3"/>
        </w:trPr>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7820" w:type="dxa"/>
            <w:vAlign w:val="bottom"/>
            <w:gridSpan w:val="8"/>
          </w:tcPr>
          <w:p>
            <w:pPr>
              <w:spacing w:after="0"/>
              <w:rPr>
                <w:sz w:val="20"/>
                <w:szCs w:val="20"/>
                <w:color w:val="auto"/>
              </w:rPr>
            </w:pPr>
            <w:r>
              <w:rPr>
                <w:rFonts w:ascii="Arial" w:cs="Arial" w:eastAsia="Arial" w:hAnsi="Arial"/>
                <w:sz w:val="18"/>
                <w:szCs w:val="18"/>
                <w:color w:val="0000FF"/>
              </w:rPr>
              <w:t>Rule 13a-14(a)/15d-14(a) Certification of Chief Executive Officer</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439"/>
        </w:trPr>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47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3"/>
              </w:rPr>
              <w:t>Rule 13a-14(a)/15d-14(a) Certification of Chief Financial Officer</w:t>
            </w:r>
          </w:p>
        </w:tc>
        <w:tc>
          <w:tcPr>
            <w:tcW w:w="40" w:type="dxa"/>
            <w:vAlign w:val="bottom"/>
            <w:tcBorders>
              <w:top w:val="single" w:sz="8" w:color="0000FF"/>
            </w:tcBorders>
          </w:tcPr>
          <w:p>
            <w:pPr>
              <w:spacing w:after="0"/>
              <w:rPr>
                <w:sz w:val="24"/>
                <w:szCs w:val="24"/>
                <w:color w:val="auto"/>
              </w:rPr>
            </w:pPr>
          </w:p>
        </w:tc>
        <w:tc>
          <w:tcPr>
            <w:tcW w:w="3060" w:type="dxa"/>
            <w:vAlign w:val="bottom"/>
            <w:gridSpan w:val="3"/>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453"/>
        </w:trPr>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Section 1350 Certification</w:t>
            </w:r>
          </w:p>
        </w:tc>
        <w:tc>
          <w:tcPr>
            <w:tcW w:w="5920" w:type="dxa"/>
            <w:vAlign w:val="bottom"/>
            <w:gridSpan w:val="7"/>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439"/>
        </w:trPr>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20" w:type="dxa"/>
            <w:vAlign w:val="bottom"/>
            <w:gridSpan w:val="8"/>
          </w:tcPr>
          <w:p>
            <w:pPr>
              <w:spacing w:after="0"/>
              <w:rPr>
                <w:sz w:val="20"/>
                <w:szCs w:val="20"/>
                <w:color w:val="auto"/>
              </w:rPr>
            </w:pPr>
            <w:r>
              <w:rPr>
                <w:rFonts w:ascii="Arial" w:cs="Arial" w:eastAsia="Arial" w:hAnsi="Arial"/>
                <w:sz w:val="18"/>
                <w:szCs w:val="18"/>
                <w:color w:val="auto"/>
                <w:w w:val="94"/>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175"/>
        </w:trPr>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20" w:type="dxa"/>
            <w:vAlign w:val="bottom"/>
            <w:gridSpan w:val="8"/>
          </w:tcPr>
          <w:p>
            <w:pPr>
              <w:spacing w:after="0" w:line="176" w:lineRule="exact"/>
              <w:rPr>
                <w:sz w:val="20"/>
                <w:szCs w:val="20"/>
                <w:color w:val="auto"/>
              </w:rPr>
            </w:pPr>
            <w:r>
              <w:rPr>
                <w:rFonts w:ascii="Arial" w:cs="Arial" w:eastAsia="Arial" w:hAnsi="Arial"/>
                <w:sz w:val="18"/>
                <w:szCs w:val="18"/>
                <w:color w:val="auto"/>
                <w:w w:val="96"/>
              </w:rPr>
              <w:t>ended June 30, 2023, as filed with the Security and Exchange Commission, formatted in iXBRL (Inline</w:t>
            </w:r>
          </w:p>
        </w:tc>
        <w:tc>
          <w:tcPr>
            <w:tcW w:w="1540" w:type="dxa"/>
            <w:vAlign w:val="bottom"/>
          </w:tcPr>
          <w:p>
            <w:pPr>
              <w:spacing w:after="0"/>
              <w:rPr>
                <w:sz w:val="15"/>
                <w:szCs w:val="15"/>
                <w:color w:val="auto"/>
              </w:rPr>
            </w:pPr>
          </w:p>
        </w:tc>
      </w:tr>
      <w:tr>
        <w:trPr>
          <w:trHeight w:val="204"/>
        </w:trPr>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20" w:type="dxa"/>
            <w:vAlign w:val="bottom"/>
            <w:gridSpan w:val="8"/>
          </w:tcPr>
          <w:p>
            <w:pPr>
              <w:spacing w:after="0" w:line="204" w:lineRule="exact"/>
              <w:rPr>
                <w:sz w:val="20"/>
                <w:szCs w:val="20"/>
                <w:color w:val="auto"/>
              </w:rPr>
            </w:pPr>
            <w:r>
              <w:rPr>
                <w:rFonts w:ascii="Arial" w:cs="Arial" w:eastAsia="Arial" w:hAnsi="Arial"/>
                <w:sz w:val="18"/>
                <w:szCs w:val="18"/>
                <w:color w:val="auto"/>
                <w:w w:val="96"/>
              </w:rPr>
              <w:t>eXtensible Business Reporting Language): (i) Condensed Consolidated Statements of Operations; (ii)</w:t>
            </w:r>
          </w:p>
        </w:tc>
        <w:tc>
          <w:tcPr>
            <w:tcW w:w="1540" w:type="dxa"/>
            <w:vAlign w:val="bottom"/>
          </w:tcPr>
          <w:p>
            <w:pPr>
              <w:spacing w:after="0"/>
              <w:rPr>
                <w:sz w:val="17"/>
                <w:szCs w:val="17"/>
                <w:color w:val="auto"/>
              </w:rPr>
            </w:pPr>
          </w:p>
        </w:tc>
      </w:tr>
    </w:tbl>
    <w:p>
      <w:pPr>
        <w:ind w:left="1740" w:right="1600"/>
        <w:spacing w:after="0" w:line="248" w:lineRule="auto"/>
        <w:rPr>
          <w:sz w:val="20"/>
          <w:szCs w:val="20"/>
          <w:color w:val="auto"/>
        </w:rPr>
      </w:pPr>
      <w:r>
        <w:rPr>
          <w:rFonts w:ascii="Arial" w:cs="Arial" w:eastAsia="Arial" w:hAnsi="Arial"/>
          <w:sz w:val="16"/>
          <w:szCs w:val="16"/>
          <w:color w:val="auto"/>
        </w:rPr>
        <w:t>Condensed Consolidated Statements of Comprehensive Income; (iii) Condensed Consolidated Balance Sheets; (iv) Condensed Consolidated Statements of Cash Flows; (v) Condensed Consolidated Statements of Stockholders' Equity; and (vi) the Notes to the Condensed Consolidated Financial Statements.</w:t>
      </w:r>
    </w:p>
    <w:p>
      <w:pPr>
        <w:spacing w:after="0" w:line="237" w:lineRule="exact"/>
        <w:rPr>
          <w:sz w:val="20"/>
          <w:szCs w:val="20"/>
          <w:color w:val="auto"/>
        </w:rPr>
      </w:pPr>
    </w:p>
    <w:p>
      <w:pPr>
        <w:ind w:left="1740" w:right="1620" w:hanging="1095"/>
        <w:spacing w:after="0" w:line="235" w:lineRule="auto"/>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cover page from Digi International Inc.'s Quarterly Report on Form 10-Q for the period ended June 30, 2023 is formatted in iXBRL (included in Exhibit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right="380" w:firstLine="8"/>
        <w:spacing w:after="0" w:line="280" w:lineRule="auto"/>
        <w:tabs>
          <w:tab w:leader="none" w:pos="1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190" w:lineRule="exact"/>
        <w:rPr>
          <w:rFonts w:ascii="Arial" w:cs="Arial" w:eastAsia="Arial" w:hAnsi="Arial"/>
          <w:sz w:val="16"/>
          <w:szCs w:val="16"/>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3(a) to the Company's Annual Report on Form 10-K for the year ended September 30, 1993.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on April 30,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99(a) to the Company's Registration Statement on Form S-8 filed on June 9, 2023.</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DIGI INTERNATIONAL INC.</w:t>
      </w:r>
    </w:p>
    <w:p>
      <w:pPr>
        <w:spacing w:after="0" w:line="198" w:lineRule="exact"/>
        <w:rPr>
          <w:sz w:val="20"/>
          <w:szCs w:val="20"/>
          <w:color w:val="auto"/>
        </w:rPr>
      </w:pPr>
    </w:p>
    <w:p>
      <w:pPr>
        <w:ind w:left="20"/>
        <w:spacing w:after="0"/>
        <w:tabs>
          <w:tab w:leader="none" w:pos="720" w:val="left"/>
          <w:tab w:leader="none" w:pos="4720" w:val="left"/>
          <w:tab w:leader="none" w:pos="5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23495</wp:posOffset>
            </wp:positionV>
            <wp:extent cx="3137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James J. Loch</w:t>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Chief Financial Officer and Treasurer</w:t>
      </w:r>
    </w:p>
    <w:p>
      <w:pPr>
        <w:ind w:left="5460"/>
        <w:spacing w:after="0"/>
        <w:rPr>
          <w:sz w:val="20"/>
          <w:szCs w:val="20"/>
          <w:color w:val="auto"/>
        </w:rPr>
      </w:pPr>
      <w:r>
        <w:rPr>
          <w:rFonts w:ascii="Arial" w:cs="Arial" w:eastAsia="Arial" w:hAnsi="Arial"/>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00"/>
          </w:cols>
          <w:pgMar w:left="320" w:top="125" w:right="117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No. 10(b)</w:t>
      </w:r>
    </w:p>
    <w:p>
      <w:pPr>
        <w:ind w:left="4680"/>
        <w:spacing w:after="0" w:line="211" w:lineRule="auto"/>
        <w:rPr>
          <w:sz w:val="20"/>
          <w:szCs w:val="20"/>
          <w:color w:val="auto"/>
        </w:rPr>
      </w:pPr>
      <w:r>
        <w:rPr>
          <w:rFonts w:ascii="Arial" w:cs="Arial" w:eastAsia="Arial" w:hAnsi="Arial"/>
          <w:sz w:val="20"/>
          <w:szCs w:val="20"/>
          <w:b w:val="1"/>
          <w:bCs w:val="1"/>
          <w:color w:val="auto"/>
        </w:rPr>
        <w:t>Digi International Inc.</w:t>
      </w:r>
    </w:p>
    <w:p>
      <w:pPr>
        <w:ind w:left="4380"/>
        <w:spacing w:after="0" w:line="197" w:lineRule="auto"/>
        <w:rPr>
          <w:sz w:val="20"/>
          <w:szCs w:val="20"/>
          <w:color w:val="auto"/>
        </w:rPr>
      </w:pPr>
      <w:r>
        <w:rPr>
          <w:rFonts w:ascii="Arial" w:cs="Arial" w:eastAsia="Arial" w:hAnsi="Arial"/>
          <w:sz w:val="20"/>
          <w:szCs w:val="20"/>
          <w:b w:val="1"/>
          <w:bCs w:val="1"/>
          <w:color w:val="auto"/>
        </w:rPr>
        <w:t>2021 Omnibus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Digi International, Inc. (the “</w:t>
      </w:r>
      <w:r>
        <w:rPr>
          <w:rFonts w:ascii="Arial" w:cs="Arial" w:eastAsia="Arial" w:hAnsi="Arial"/>
          <w:sz w:val="19"/>
          <w:szCs w:val="19"/>
          <w:i w:val="1"/>
          <w:iCs w:val="1"/>
          <w:color w:val="auto"/>
        </w:rPr>
        <w:t>Company</w:t>
      </w:r>
      <w:r>
        <w:rPr>
          <w:rFonts w:ascii="Arial" w:cs="Arial" w:eastAsia="Arial" w:hAnsi="Arial"/>
          <w:sz w:val="19"/>
          <w:szCs w:val="19"/>
          <w:color w:val="auto"/>
        </w:rPr>
        <w:t>”), pursuant to its 2021 Omnibus Incentive Plan (the “</w:t>
      </w:r>
      <w:r>
        <w:rPr>
          <w:rFonts w:ascii="Arial" w:cs="Arial" w:eastAsia="Arial" w:hAnsi="Arial"/>
          <w:sz w:val="19"/>
          <w:szCs w:val="19"/>
          <w:i w:val="1"/>
          <w:iCs w:val="1"/>
          <w:color w:val="auto"/>
        </w:rPr>
        <w:t>Plan</w:t>
      </w:r>
      <w:r>
        <w:rPr>
          <w:rFonts w:ascii="Arial" w:cs="Arial" w:eastAsia="Arial" w:hAnsi="Arial"/>
          <w:sz w:val="19"/>
          <w:szCs w:val="19"/>
          <w:color w:val="auto"/>
        </w:rPr>
        <w:t>”), hereby grants an Award of</w:t>
      </w:r>
    </w:p>
    <w:p>
      <w:pPr>
        <w:spacing w:after="0" w:line="226" w:lineRule="auto"/>
        <w:rPr>
          <w:sz w:val="20"/>
          <w:szCs w:val="20"/>
          <w:color w:val="auto"/>
        </w:rPr>
      </w:pPr>
      <w:r>
        <w:rPr>
          <w:rFonts w:ascii="Arial" w:cs="Arial" w:eastAsia="Arial" w:hAnsi="Arial"/>
          <w:sz w:val="18"/>
          <w:szCs w:val="18"/>
          <w:color w:val="auto"/>
        </w:rPr>
        <w:t>Performance Stock Units to you, the Participant named below. The terms and conditions of this Award are set forth in this Performance Stock Unit Award Agreement (the “</w:t>
      </w:r>
      <w:r>
        <w:rPr>
          <w:rFonts w:ascii="Arial" w:cs="Arial" w:eastAsia="Arial" w:hAnsi="Arial"/>
          <w:sz w:val="18"/>
          <w:szCs w:val="18"/>
          <w:i w:val="1"/>
          <w:iCs w:val="1"/>
          <w:color w:val="auto"/>
        </w:rPr>
        <w:t>Agreement</w:t>
      </w:r>
      <w:r>
        <w:rPr>
          <w:rFonts w:ascii="Arial" w:cs="Arial" w:eastAsia="Arial" w:hAnsi="Arial"/>
          <w:sz w:val="18"/>
          <w:szCs w:val="18"/>
          <w:color w:val="auto"/>
        </w:rPr>
        <w:t>”), consisting of this cover page and the Terms and Conditions on the following pages, and in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Plan document, which has been provided to you.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2228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Participant: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Number of Performance Stock Units: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40" w:type="dxa"/>
            <w:vAlign w:val="bottom"/>
          </w:tcPr>
          <w:p>
            <w:pPr>
              <w:ind w:left="40"/>
              <w:spacing w:after="0"/>
              <w:rPr>
                <w:sz w:val="20"/>
                <w:szCs w:val="20"/>
                <w:color w:val="auto"/>
              </w:rPr>
            </w:pPr>
            <w:r>
              <w:rPr>
                <w:rFonts w:ascii="Arial" w:cs="Arial" w:eastAsia="Arial" w:hAnsi="Arial"/>
                <w:sz w:val="20"/>
                <w:szCs w:val="20"/>
                <w:color w:val="auto"/>
              </w:rPr>
              <w:t>Grant Date:</w:t>
            </w:r>
          </w:p>
        </w:tc>
        <w:tc>
          <w:tcPr>
            <w:tcW w:w="7400" w:type="dxa"/>
            <w:vAlign w:val="bottom"/>
          </w:tcPr>
          <w:p>
            <w:pPr>
              <w:ind w:left="1800"/>
              <w:spacing w:after="0"/>
              <w:rPr>
                <w:sz w:val="20"/>
                <w:szCs w:val="20"/>
                <w:color w:val="auto"/>
              </w:rPr>
            </w:pPr>
            <w:r>
              <w:rPr>
                <w:rFonts w:ascii="Arial" w:cs="Arial" w:eastAsia="Arial" w:hAnsi="Arial"/>
                <w:sz w:val="20"/>
                <w:szCs w:val="20"/>
                <w:color w:val="auto"/>
              </w:rPr>
              <w:t>___</w:t>
            </w:r>
          </w:p>
        </w:tc>
      </w:tr>
      <w:tr>
        <w:trPr>
          <w:trHeight w:val="23"/>
        </w:trPr>
        <w:tc>
          <w:tcPr>
            <w:tcW w:w="384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ind w:left="40"/>
              <w:spacing w:after="0" w:line="209" w:lineRule="exact"/>
              <w:rPr>
                <w:sz w:val="20"/>
                <w:szCs w:val="20"/>
                <w:color w:val="auto"/>
              </w:rPr>
            </w:pPr>
            <w:r>
              <w:rPr>
                <w:rFonts w:ascii="Arial" w:cs="Arial" w:eastAsia="Arial" w:hAnsi="Arial"/>
                <w:sz w:val="20"/>
                <w:szCs w:val="20"/>
                <w:color w:val="auto"/>
              </w:rPr>
              <w:t>Vesting Schedule:</w:t>
            </w:r>
          </w:p>
        </w:tc>
        <w:tc>
          <w:tcPr>
            <w:tcW w:w="7400" w:type="dxa"/>
            <w:vAlign w:val="bottom"/>
          </w:tcPr>
          <w:p>
            <w:pPr>
              <w:ind w:left="1860"/>
              <w:spacing w:after="0" w:line="209" w:lineRule="exact"/>
              <w:rPr>
                <w:sz w:val="20"/>
                <w:szCs w:val="20"/>
                <w:color w:val="auto"/>
              </w:rPr>
            </w:pPr>
            <w:r>
              <w:rPr>
                <w:rFonts w:ascii="Arial" w:cs="Arial" w:eastAsia="Arial" w:hAnsi="Arial"/>
                <w:sz w:val="20"/>
                <w:szCs w:val="20"/>
                <w:color w:val="auto"/>
              </w:rPr>
              <w:t>The number of Achieved Units determined in accordance with</w:t>
            </w:r>
          </w:p>
        </w:tc>
      </w:tr>
      <w:tr>
        <w:trPr>
          <w:trHeight w:val="186"/>
        </w:trPr>
        <w:tc>
          <w:tcPr>
            <w:tcW w:w="3840" w:type="dxa"/>
            <w:vAlign w:val="bottom"/>
          </w:tcPr>
          <w:p>
            <w:pPr>
              <w:spacing w:after="0"/>
              <w:rPr>
                <w:sz w:val="16"/>
                <w:szCs w:val="16"/>
                <w:color w:val="auto"/>
              </w:rPr>
            </w:pPr>
          </w:p>
        </w:tc>
        <w:tc>
          <w:tcPr>
            <w:tcW w:w="7400" w:type="dxa"/>
            <w:vAlign w:val="bottom"/>
          </w:tcPr>
          <w:p>
            <w:pPr>
              <w:ind w:left="1860"/>
              <w:spacing w:after="0" w:line="185" w:lineRule="exact"/>
              <w:rPr>
                <w:sz w:val="20"/>
                <w:szCs w:val="20"/>
                <w:color w:val="auto"/>
              </w:rPr>
            </w:pPr>
            <w:r>
              <w:rPr>
                <w:rFonts w:ascii="Arial" w:cs="Arial" w:eastAsia="Arial" w:hAnsi="Arial"/>
                <w:sz w:val="20"/>
                <w:szCs w:val="20"/>
                <w:color w:val="auto"/>
                <w:w w:val="94"/>
              </w:rPr>
              <w:t>Exhibit A will vest (subject to your continued employment) on each</w:t>
            </w:r>
          </w:p>
        </w:tc>
      </w:tr>
      <w:tr>
        <w:trPr>
          <w:trHeight w:val="192"/>
        </w:trPr>
        <w:tc>
          <w:tcPr>
            <w:tcW w:w="3840" w:type="dxa"/>
            <w:vAlign w:val="bottom"/>
          </w:tcPr>
          <w:p>
            <w:pPr>
              <w:spacing w:after="0"/>
              <w:rPr>
                <w:sz w:val="16"/>
                <w:szCs w:val="16"/>
                <w:color w:val="auto"/>
              </w:rPr>
            </w:pPr>
          </w:p>
        </w:tc>
        <w:tc>
          <w:tcPr>
            <w:tcW w:w="7400" w:type="dxa"/>
            <w:vAlign w:val="bottom"/>
          </w:tcPr>
          <w:p>
            <w:pPr>
              <w:ind w:left="1860"/>
              <w:spacing w:after="0" w:line="192" w:lineRule="exact"/>
              <w:rPr>
                <w:sz w:val="20"/>
                <w:szCs w:val="20"/>
                <w:color w:val="auto"/>
              </w:rPr>
            </w:pPr>
            <w:r>
              <w:rPr>
                <w:rFonts w:ascii="Arial" w:cs="Arial" w:eastAsia="Arial" w:hAnsi="Arial"/>
                <w:sz w:val="20"/>
                <w:szCs w:val="20"/>
                <w:color w:val="auto"/>
                <w:w w:val="92"/>
              </w:rPr>
              <w:t>Scheduled Vesting Date. Vested Units will be settled in accordance</w:t>
            </w:r>
          </w:p>
        </w:tc>
      </w:tr>
      <w:tr>
        <w:trPr>
          <w:trHeight w:val="253"/>
        </w:trPr>
        <w:tc>
          <w:tcPr>
            <w:tcW w:w="3840" w:type="dxa"/>
            <w:vAlign w:val="bottom"/>
            <w:tcBorders>
              <w:bottom w:val="single" w:sz="8" w:color="auto"/>
            </w:tcBorders>
          </w:tcPr>
          <w:p>
            <w:pPr>
              <w:spacing w:after="0"/>
              <w:rPr>
                <w:sz w:val="22"/>
                <w:szCs w:val="22"/>
                <w:color w:val="auto"/>
              </w:rPr>
            </w:pPr>
          </w:p>
        </w:tc>
        <w:tc>
          <w:tcPr>
            <w:tcW w:w="7400" w:type="dxa"/>
            <w:vAlign w:val="bottom"/>
            <w:tcBorders>
              <w:bottom w:val="single" w:sz="8" w:color="auto"/>
            </w:tcBorders>
          </w:tcPr>
          <w:p>
            <w:pPr>
              <w:ind w:left="1860"/>
              <w:spacing w:after="0"/>
              <w:rPr>
                <w:sz w:val="20"/>
                <w:szCs w:val="20"/>
                <w:color w:val="auto"/>
              </w:rPr>
            </w:pPr>
            <w:r>
              <w:rPr>
                <w:rFonts w:ascii="Arial" w:cs="Arial" w:eastAsia="Arial" w:hAnsi="Arial"/>
                <w:sz w:val="20"/>
                <w:szCs w:val="20"/>
                <w:color w:val="auto"/>
              </w:rPr>
              <w:t>with the terms of the Agreement</w:t>
            </w:r>
          </w:p>
        </w:tc>
      </w:tr>
      <w:tr>
        <w:trPr>
          <w:trHeight w:val="263"/>
        </w:trPr>
        <w:tc>
          <w:tcPr>
            <w:tcW w:w="3840" w:type="dxa"/>
            <w:vAlign w:val="bottom"/>
          </w:tcPr>
          <w:p>
            <w:pPr>
              <w:ind w:left="40"/>
              <w:spacing w:after="0"/>
              <w:rPr>
                <w:sz w:val="20"/>
                <w:szCs w:val="20"/>
                <w:color w:val="auto"/>
              </w:rPr>
            </w:pPr>
            <w:r>
              <w:rPr>
                <w:rFonts w:ascii="Arial" w:cs="Arial" w:eastAsia="Arial" w:hAnsi="Arial"/>
                <w:sz w:val="20"/>
                <w:szCs w:val="20"/>
                <w:color w:val="auto"/>
              </w:rPr>
              <w:t>Scheduled Vesting Dates:</w:t>
            </w:r>
          </w:p>
        </w:tc>
        <w:tc>
          <w:tcPr>
            <w:tcW w:w="7400" w:type="dxa"/>
            <w:vAlign w:val="bottom"/>
          </w:tcPr>
          <w:p>
            <w:pPr>
              <w:ind w:left="1800"/>
              <w:spacing w:after="0"/>
              <w:rPr>
                <w:sz w:val="20"/>
                <w:szCs w:val="20"/>
                <w:color w:val="auto"/>
              </w:rPr>
            </w:pPr>
            <w:r>
              <w:rPr>
                <w:rFonts w:ascii="Arial" w:cs="Arial" w:eastAsia="Arial" w:hAnsi="Arial"/>
                <w:sz w:val="20"/>
                <w:szCs w:val="20"/>
                <w:color w:val="auto"/>
                <w:w w:val="90"/>
              </w:rPr>
              <w:t>After the end of each Measurement Period (and no later than two and</w:t>
            </w:r>
          </w:p>
        </w:tc>
      </w:tr>
      <w:tr>
        <w:trPr>
          <w:trHeight w:val="250"/>
        </w:trPr>
        <w:tc>
          <w:tcPr>
            <w:tcW w:w="3840" w:type="dxa"/>
            <w:vAlign w:val="bottom"/>
          </w:tcPr>
          <w:p>
            <w:pPr>
              <w:spacing w:after="0"/>
              <w:rPr>
                <w:sz w:val="21"/>
                <w:szCs w:val="21"/>
                <w:color w:val="auto"/>
              </w:rPr>
            </w:pPr>
          </w:p>
        </w:tc>
        <w:tc>
          <w:tcPr>
            <w:tcW w:w="7400" w:type="dxa"/>
            <w:vAlign w:val="bottom"/>
          </w:tcPr>
          <w:p>
            <w:pPr>
              <w:ind w:left="1800"/>
              <w:spacing w:after="0"/>
              <w:rPr>
                <w:sz w:val="20"/>
                <w:szCs w:val="20"/>
                <w:color w:val="auto"/>
              </w:rPr>
            </w:pPr>
            <w:r>
              <w:rPr>
                <w:rFonts w:ascii="Arial" w:cs="Arial" w:eastAsia="Arial" w:hAnsi="Arial"/>
                <w:sz w:val="20"/>
                <w:szCs w:val="20"/>
                <w:color w:val="auto"/>
              </w:rPr>
              <w:t>one-half  months  thereafter)  the  Committee  shall  certify  the</w:t>
            </w:r>
          </w:p>
        </w:tc>
      </w:tr>
      <w:tr>
        <w:trPr>
          <w:trHeight w:val="249"/>
        </w:trPr>
        <w:tc>
          <w:tcPr>
            <w:tcW w:w="3840" w:type="dxa"/>
            <w:vAlign w:val="bottom"/>
          </w:tcPr>
          <w:p>
            <w:pPr>
              <w:spacing w:after="0"/>
              <w:rPr>
                <w:sz w:val="21"/>
                <w:szCs w:val="21"/>
                <w:color w:val="auto"/>
              </w:rPr>
            </w:pPr>
          </w:p>
        </w:tc>
        <w:tc>
          <w:tcPr>
            <w:tcW w:w="7400" w:type="dxa"/>
            <w:vAlign w:val="bottom"/>
          </w:tcPr>
          <w:p>
            <w:pPr>
              <w:ind w:left="1800"/>
              <w:spacing w:after="0"/>
              <w:rPr>
                <w:sz w:val="20"/>
                <w:szCs w:val="20"/>
                <w:color w:val="auto"/>
              </w:rPr>
            </w:pPr>
            <w:r>
              <w:rPr>
                <w:rFonts w:ascii="Arial" w:cs="Arial" w:eastAsia="Arial" w:hAnsi="Arial"/>
                <w:sz w:val="20"/>
                <w:szCs w:val="20"/>
                <w:color w:val="auto"/>
                <w:w w:val="90"/>
              </w:rPr>
              <w:t>performance results for that Measurement Period (each a “Scheduled</w:t>
            </w:r>
          </w:p>
        </w:tc>
      </w:tr>
      <w:tr>
        <w:trPr>
          <w:trHeight w:val="250"/>
        </w:trPr>
        <w:tc>
          <w:tcPr>
            <w:tcW w:w="3840" w:type="dxa"/>
            <w:vAlign w:val="bottom"/>
          </w:tcPr>
          <w:p>
            <w:pPr>
              <w:spacing w:after="0"/>
              <w:rPr>
                <w:sz w:val="21"/>
                <w:szCs w:val="21"/>
                <w:color w:val="auto"/>
              </w:rPr>
            </w:pPr>
          </w:p>
        </w:tc>
        <w:tc>
          <w:tcPr>
            <w:tcW w:w="7400" w:type="dxa"/>
            <w:vAlign w:val="bottom"/>
          </w:tcPr>
          <w:p>
            <w:pPr>
              <w:ind w:left="1800"/>
              <w:spacing w:after="0"/>
              <w:rPr>
                <w:sz w:val="20"/>
                <w:szCs w:val="20"/>
                <w:color w:val="auto"/>
              </w:rPr>
            </w:pPr>
            <w:r>
              <w:rPr>
                <w:rFonts w:ascii="Arial" w:cs="Arial" w:eastAsia="Arial" w:hAnsi="Arial"/>
                <w:sz w:val="20"/>
                <w:szCs w:val="20"/>
                <w:color w:val="auto"/>
              </w:rPr>
              <w:t>Vesting Date”)</w:t>
            </w:r>
          </w:p>
        </w:tc>
      </w:tr>
      <w:tr>
        <w:trPr>
          <w:trHeight w:val="23"/>
        </w:trPr>
        <w:tc>
          <w:tcPr>
            <w:tcW w:w="384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r>
      <w:tr>
        <w:trPr>
          <w:trHeight w:val="268"/>
        </w:trPr>
        <w:tc>
          <w:tcPr>
            <w:tcW w:w="3840" w:type="dxa"/>
            <w:vAlign w:val="bottom"/>
          </w:tcPr>
          <w:p>
            <w:pPr>
              <w:ind w:left="40"/>
              <w:spacing w:after="0"/>
              <w:rPr>
                <w:sz w:val="20"/>
                <w:szCs w:val="20"/>
                <w:color w:val="auto"/>
              </w:rPr>
            </w:pPr>
            <w:r>
              <w:rPr>
                <w:rFonts w:ascii="Arial" w:cs="Arial" w:eastAsia="Arial" w:hAnsi="Arial"/>
                <w:sz w:val="20"/>
                <w:szCs w:val="20"/>
                <w:color w:val="auto"/>
              </w:rPr>
              <w:t>Measurement Periods:</w:t>
            </w:r>
          </w:p>
        </w:tc>
        <w:tc>
          <w:tcPr>
            <w:tcW w:w="7400" w:type="dxa"/>
            <w:vAlign w:val="bottom"/>
          </w:tcPr>
          <w:p>
            <w:pPr>
              <w:ind w:left="1800"/>
              <w:spacing w:after="0"/>
              <w:rPr>
                <w:sz w:val="20"/>
                <w:szCs w:val="20"/>
                <w:color w:val="auto"/>
              </w:rPr>
            </w:pPr>
            <w:r>
              <w:rPr>
                <w:rFonts w:ascii="Arial" w:cs="Arial" w:eastAsia="Arial" w:hAnsi="Arial"/>
                <w:sz w:val="20"/>
                <w:szCs w:val="20"/>
                <w:color w:val="auto"/>
              </w:rPr>
              <w:t>Each full fiscal year during the Performance Period</w:t>
            </w:r>
          </w:p>
        </w:tc>
      </w:tr>
      <w:tr>
        <w:trPr>
          <w:trHeight w:val="37"/>
        </w:trPr>
        <w:tc>
          <w:tcPr>
            <w:tcW w:w="384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r>
      <w:tr>
        <w:trPr>
          <w:trHeight w:val="268"/>
        </w:trPr>
        <w:tc>
          <w:tcPr>
            <w:tcW w:w="3840" w:type="dxa"/>
            <w:vAlign w:val="bottom"/>
          </w:tcPr>
          <w:p>
            <w:pPr>
              <w:ind w:left="40"/>
              <w:spacing w:after="0"/>
              <w:rPr>
                <w:sz w:val="20"/>
                <w:szCs w:val="20"/>
                <w:color w:val="auto"/>
              </w:rPr>
            </w:pPr>
            <w:r>
              <w:rPr>
                <w:rFonts w:ascii="Arial" w:cs="Arial" w:eastAsia="Arial" w:hAnsi="Arial"/>
                <w:sz w:val="20"/>
                <w:szCs w:val="20"/>
                <w:color w:val="auto"/>
              </w:rPr>
              <w:t>Performance Period:</w:t>
            </w:r>
          </w:p>
        </w:tc>
        <w:tc>
          <w:tcPr>
            <w:tcW w:w="7400" w:type="dxa"/>
            <w:vAlign w:val="bottom"/>
          </w:tcPr>
          <w:p>
            <w:pPr>
              <w:ind w:left="1800"/>
              <w:spacing w:after="0"/>
              <w:rPr>
                <w:sz w:val="20"/>
                <w:szCs w:val="20"/>
                <w:color w:val="auto"/>
              </w:rPr>
            </w:pPr>
            <w:r>
              <w:rPr>
                <w:rFonts w:ascii="Arial" w:cs="Arial" w:eastAsia="Arial" w:hAnsi="Arial"/>
                <w:sz w:val="20"/>
                <w:szCs w:val="20"/>
                <w:color w:val="auto"/>
              </w:rPr>
              <w:t>October 1, 2022 to September 30, 2024</w:t>
            </w:r>
          </w:p>
        </w:tc>
      </w:tr>
    </w:tbl>
    <w:p>
      <w:pPr>
        <w:spacing w:after="0" w:line="3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By signing below or otherwise evidencing your acceptance of this Agreement in a manner approved by the Company, you agree to all of the terms and conditions contained in this Agreement and in the Plan document. You acknowledge that you have reviewed these</w:t>
      </w:r>
    </w:p>
    <w:p>
      <w:pPr>
        <w:jc w:val="both"/>
        <w:spacing w:after="0" w:line="220" w:lineRule="auto"/>
        <w:rPr>
          <w:sz w:val="20"/>
          <w:szCs w:val="20"/>
          <w:color w:val="auto"/>
        </w:rPr>
      </w:pPr>
      <w:r>
        <w:rPr>
          <w:rFonts w:ascii="Arial" w:cs="Arial" w:eastAsia="Arial" w:hAnsi="Arial"/>
          <w:sz w:val="20"/>
          <w:szCs w:val="20"/>
          <w:color w:val="auto"/>
        </w:rPr>
        <w:t>documents and that they set forth the entire agreement between you and the Company regarding the grant to you of the number of Performance Stock Units specified in the table above.</w:t>
      </w:r>
    </w:p>
    <w:p>
      <w:pPr>
        <w:sectPr>
          <w:pgSz w:w="11900" w:h="16838" w:orient="portrait"/>
          <w:cols w:equalWidth="0" w:num="1">
            <w:col w:w="11240"/>
          </w:cols>
          <w:pgMar w:left="320" w:top="13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DIGI INTERNATIONAL INC.</w:t>
      </w:r>
    </w:p>
    <w:p>
      <w:pPr>
        <w:spacing w:after="0" w:line="92" w:lineRule="exact"/>
        <w:rPr>
          <w:sz w:val="20"/>
          <w:szCs w:val="20"/>
          <w:color w:val="auto"/>
        </w:rPr>
      </w:pPr>
    </w:p>
    <w:p>
      <w:pPr>
        <w:sectPr>
          <w:pgSz w:w="11900" w:h="16838" w:orient="portrait"/>
          <w:cols w:equalWidth="0" w:num="2">
            <w:col w:w="7020" w:space="720"/>
            <w:col w:w="3500"/>
          </w:cols>
          <w:pgMar w:left="320" w:top="1384"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 _____________</w:t>
      </w:r>
    </w:p>
    <w:p>
      <w:pPr>
        <w:spacing w:after="0" w:line="90" w:lineRule="exact"/>
        <w:rPr>
          <w:sz w:val="20"/>
          <w:szCs w:val="20"/>
          <w:color w:val="auto"/>
        </w:rPr>
      </w:pPr>
    </w:p>
    <w:p>
      <w:pPr>
        <w:sectPr>
          <w:pgSz w:w="11900" w:h="16838" w:orient="portrait"/>
          <w:cols w:equalWidth="0" w:num="2">
            <w:col w:w="7020" w:space="720"/>
            <w:col w:w="3500"/>
          </w:cols>
          <w:pgMar w:left="320" w:top="1384" w:right="339" w:bottom="1440" w:gutter="0" w:footer="0" w:header="0"/>
          <w:type w:val="continuous"/>
        </w:sectPr>
      </w:pPr>
    </w:p>
    <w:p>
      <w:pPr>
        <w:ind w:left="7740"/>
        <w:spacing w:after="0"/>
        <w:rPr>
          <w:sz w:val="20"/>
          <w:szCs w:val="20"/>
          <w:color w:val="auto"/>
        </w:rPr>
      </w:pPr>
      <w:r>
        <w:rPr>
          <w:rFonts w:ascii="Arial" w:cs="Arial" w:eastAsia="Arial" w:hAnsi="Arial"/>
          <w:sz w:val="18"/>
          <w:szCs w:val="18"/>
          <w:color w:val="auto"/>
        </w:rPr>
        <w:t>Title: ____________</w:t>
      </w:r>
    </w:p>
    <w:p>
      <w:pPr>
        <w:sectPr>
          <w:pgSz w:w="11900" w:h="16838" w:orient="portrait"/>
          <w:cols w:equalWidth="0" w:num="1">
            <w:col w:w="11240"/>
          </w:cols>
          <w:pgMar w:left="320" w:top="1384" w:right="339" w:bottom="1440" w:gutter="0" w:footer="0" w:header="0"/>
          <w:type w:val="continuous"/>
        </w:sectPr>
      </w:pPr>
    </w:p>
    <w:bookmarkStart w:id="34" w:name="page35"/>
    <w:bookmarkEnd w:id="34"/>
    <w:p>
      <w:pPr>
        <w:ind w:left="4680"/>
        <w:spacing w:after="0"/>
        <w:rPr>
          <w:sz w:val="20"/>
          <w:szCs w:val="20"/>
          <w:color w:val="auto"/>
        </w:rPr>
      </w:pPr>
      <w:r>
        <w:rPr>
          <w:rFonts w:ascii="Arial" w:cs="Arial" w:eastAsia="Arial" w:hAnsi="Arial"/>
          <w:sz w:val="20"/>
          <w:szCs w:val="20"/>
          <w:b w:val="1"/>
          <w:bCs w:val="1"/>
          <w:color w:val="auto"/>
        </w:rPr>
        <w:t>Digi International Inc.</w:t>
      </w:r>
    </w:p>
    <w:p>
      <w:pPr>
        <w:ind w:left="4380"/>
        <w:spacing w:after="0" w:line="197" w:lineRule="auto"/>
        <w:rPr>
          <w:sz w:val="20"/>
          <w:szCs w:val="20"/>
          <w:color w:val="auto"/>
        </w:rPr>
      </w:pPr>
      <w:r>
        <w:rPr>
          <w:rFonts w:ascii="Arial" w:cs="Arial" w:eastAsia="Arial" w:hAnsi="Arial"/>
          <w:sz w:val="20"/>
          <w:szCs w:val="20"/>
          <w:b w:val="1"/>
          <w:bCs w:val="1"/>
          <w:color w:val="auto"/>
        </w:rPr>
        <w:t>2021 Omnibus Incentive Plan</w:t>
      </w:r>
    </w:p>
    <w:p>
      <w:pPr>
        <w:jc w:val="center"/>
        <w:spacing w:after="0" w:line="211" w:lineRule="auto"/>
        <w:rPr>
          <w:sz w:val="20"/>
          <w:szCs w:val="20"/>
          <w:color w:val="auto"/>
        </w:rPr>
      </w:pPr>
      <w:r>
        <w:rPr>
          <w:rFonts w:ascii="Arial" w:cs="Arial" w:eastAsia="Arial" w:hAnsi="Arial"/>
          <w:sz w:val="20"/>
          <w:szCs w:val="20"/>
          <w:b w:val="1"/>
          <w:bCs w:val="1"/>
          <w:color w:val="auto"/>
        </w:rPr>
        <w:t>(Executive) Performance Stock Unit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w:t>
      </w:r>
    </w:p>
    <w:p>
      <w:pPr>
        <w:spacing w:after="0" w:line="194" w:lineRule="exact"/>
        <w:rPr>
          <w:sz w:val="20"/>
          <w:szCs w:val="20"/>
          <w:color w:val="auto"/>
        </w:rPr>
      </w:pPr>
    </w:p>
    <w:p>
      <w:pPr>
        <w:jc w:val="both"/>
        <w:ind w:firstLine="8"/>
        <w:spacing w:after="0" w:line="241" w:lineRule="auto"/>
        <w:tabs>
          <w:tab w:leader="none" w:pos="345" w:val="left"/>
        </w:tabs>
        <w:numPr>
          <w:ilvl w:val="0"/>
          <w:numId w:val="24"/>
        </w:numPr>
        <w:rPr>
          <w:rFonts w:ascii="Arial" w:cs="Arial" w:eastAsia="Arial" w:hAnsi="Arial"/>
          <w:sz w:val="16"/>
          <w:szCs w:val="16"/>
          <w:color w:val="auto"/>
        </w:rPr>
      </w:pPr>
      <w:r>
        <w:rPr>
          <w:rFonts w:ascii="Arial" w:cs="Arial" w:eastAsia="Arial" w:hAnsi="Arial"/>
          <w:sz w:val="18"/>
          <w:szCs w:val="18"/>
          <w:b w:val="1"/>
          <w:bCs w:val="1"/>
          <w:color w:val="auto"/>
        </w:rPr>
        <w:t>Grant of Performance Stock Units</w:t>
      </w:r>
      <w:r>
        <w:rPr>
          <w:rFonts w:ascii="Arial" w:cs="Arial" w:eastAsia="Arial" w:hAnsi="Arial"/>
          <w:sz w:val="18"/>
          <w:szCs w:val="18"/>
          <w:color w:val="auto"/>
        </w:rPr>
        <w:t>. The Company hereby grants to you, subject to the terms and conditions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Plan, an Award of the number of Performance Stock Units (“Units”) specified on the cover page of this Agreement, each representing the right to receive one Share of the Company’s Stock. The number of Units that will actually be achieved and become eligible to vest pursuant to this Award can be less than the total number of Units, and will be determined based on the extent to which the Company has satisfied the performance goals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The Units represent an unfunded and unsecured obligation of the Company.</w:t>
      </w:r>
    </w:p>
    <w:p>
      <w:pPr>
        <w:spacing w:after="0" w:line="189" w:lineRule="exact"/>
        <w:rPr>
          <w:rFonts w:ascii="Arial" w:cs="Arial" w:eastAsia="Arial" w:hAnsi="Arial"/>
          <w:sz w:val="16"/>
          <w:szCs w:val="16"/>
          <w:color w:val="auto"/>
        </w:rPr>
      </w:pPr>
    </w:p>
    <w:p>
      <w:pPr>
        <w:jc w:val="both"/>
        <w:ind w:firstLine="8"/>
        <w:spacing w:after="0" w:line="248" w:lineRule="auto"/>
        <w:tabs>
          <w:tab w:leader="none" w:pos="466" w:val="left"/>
        </w:tabs>
        <w:numPr>
          <w:ilvl w:val="0"/>
          <w:numId w:val="24"/>
        </w:numPr>
        <w:rPr>
          <w:rFonts w:ascii="Arial" w:cs="Arial" w:eastAsia="Arial" w:hAnsi="Arial"/>
          <w:sz w:val="16"/>
          <w:szCs w:val="16"/>
          <w:color w:val="auto"/>
        </w:rPr>
      </w:pPr>
      <w:r>
        <w:rPr>
          <w:rFonts w:ascii="Arial" w:cs="Arial" w:eastAsia="Arial" w:hAnsi="Arial"/>
          <w:sz w:val="18"/>
          <w:szCs w:val="18"/>
          <w:b w:val="1"/>
          <w:bCs w:val="1"/>
          <w:color w:val="auto"/>
        </w:rPr>
        <w:t>Restrictions on Units</w:t>
      </w:r>
      <w:r>
        <w:rPr>
          <w:rFonts w:ascii="Arial" w:cs="Arial" w:eastAsia="Arial" w:hAnsi="Arial"/>
          <w:sz w:val="18"/>
          <w:szCs w:val="18"/>
          <w:color w:val="auto"/>
        </w:rPr>
        <w:t>. Neither this Award nor the Units subject to this Award may be sold, assigned, transferred, exchanged or</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encumbered other than by will or the laws of descent and distribution. Any attempted transfer in violation of this Section 2 shall be of no force and effect and shall result in the forfeiture of all Units. The Units and your right to receive shares in settlement of the Units under this Agreement shall be subject to forfeiture as provided in Section 4 until satisfaction of the vesting conditions set forth in Section 3.</w:t>
      </w:r>
    </w:p>
    <w:p>
      <w:pPr>
        <w:spacing w:after="0" w:line="183"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20"/>
          <w:szCs w:val="20"/>
          <w:b w:val="1"/>
          <w:bCs w:val="1"/>
          <w:color w:val="auto"/>
        </w:rPr>
        <w:t>Achieved Units and Vesting of Units</w:t>
      </w:r>
      <w:r>
        <w:rPr>
          <w:rFonts w:ascii="Arial" w:cs="Arial" w:eastAsia="Arial" w:hAnsi="Arial"/>
          <w:sz w:val="20"/>
          <w:szCs w:val="20"/>
          <w:color w:val="auto"/>
        </w:rPr>
        <w:t>.</w:t>
      </w:r>
    </w:p>
    <w:p>
      <w:pPr>
        <w:spacing w:after="0" w:line="208" w:lineRule="exact"/>
        <w:rPr>
          <w:rFonts w:ascii="Arial" w:cs="Arial" w:eastAsia="Arial" w:hAnsi="Arial"/>
          <w:sz w:val="18"/>
          <w:szCs w:val="18"/>
          <w:color w:val="auto"/>
        </w:rPr>
      </w:pPr>
    </w:p>
    <w:p>
      <w:pPr>
        <w:jc w:val="both"/>
        <w:ind w:left="660" w:hanging="328"/>
        <w:spacing w:after="0" w:line="220" w:lineRule="auto"/>
        <w:tabs>
          <w:tab w:leader="none" w:pos="753" w:val="left"/>
        </w:tabs>
        <w:numPr>
          <w:ilvl w:val="1"/>
          <w:numId w:val="24"/>
        </w:numPr>
        <w:rPr>
          <w:rFonts w:ascii="Arial" w:cs="Arial" w:eastAsia="Arial" w:hAnsi="Arial"/>
          <w:sz w:val="18"/>
          <w:szCs w:val="18"/>
          <w:color w:val="auto"/>
        </w:rPr>
      </w:pPr>
      <w:r>
        <w:rPr>
          <w:rFonts w:ascii="Arial" w:cs="Arial" w:eastAsia="Arial" w:hAnsi="Arial"/>
          <w:sz w:val="20"/>
          <w:szCs w:val="20"/>
          <w:u w:val="single" w:color="auto"/>
          <w:color w:val="auto"/>
        </w:rPr>
        <w:t>Achieved Units</w:t>
      </w:r>
      <w:r>
        <w:rPr>
          <w:rFonts w:ascii="Arial" w:cs="Arial" w:eastAsia="Arial" w:hAnsi="Arial"/>
          <w:sz w:val="20"/>
          <w:szCs w:val="20"/>
          <w:color w:val="auto"/>
        </w:rPr>
        <w:t xml:space="preserve">. The number of units you will be deemed to have earned (“Achieved Units”) and that are eligible for vesting as of each Scheduled Vesting Date will be determined by the extent to which the Company has satisfied the performance goals 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 Any Units subject to this Agreement that are not achieved by the final Scheduled Vesting Date will be forfeited.</w:t>
      </w:r>
    </w:p>
    <w:p>
      <w:pPr>
        <w:spacing w:after="0" w:line="196" w:lineRule="exact"/>
        <w:rPr>
          <w:rFonts w:ascii="Arial" w:cs="Arial" w:eastAsia="Arial" w:hAnsi="Arial"/>
          <w:sz w:val="18"/>
          <w:szCs w:val="18"/>
          <w:color w:val="auto"/>
        </w:rPr>
      </w:pPr>
    </w:p>
    <w:p>
      <w:pPr>
        <w:jc w:val="both"/>
        <w:ind w:left="660" w:hanging="328"/>
        <w:spacing w:after="0" w:line="223" w:lineRule="auto"/>
        <w:tabs>
          <w:tab w:leader="none" w:pos="778" w:val="left"/>
        </w:tabs>
        <w:numPr>
          <w:ilvl w:val="1"/>
          <w:numId w:val="24"/>
        </w:numPr>
        <w:rPr>
          <w:rFonts w:ascii="Arial" w:cs="Arial" w:eastAsia="Arial" w:hAnsi="Arial"/>
          <w:sz w:val="18"/>
          <w:szCs w:val="18"/>
          <w:color w:val="auto"/>
        </w:rPr>
      </w:pPr>
      <w:r>
        <w:rPr>
          <w:rFonts w:ascii="Arial" w:cs="Arial" w:eastAsia="Arial" w:hAnsi="Arial"/>
          <w:sz w:val="20"/>
          <w:szCs w:val="20"/>
          <w:u w:val="single" w:color="auto"/>
          <w:color w:val="auto"/>
        </w:rPr>
        <w:t>Scheduled Vesting</w:t>
      </w:r>
      <w:r>
        <w:rPr>
          <w:rFonts w:ascii="Arial" w:cs="Arial" w:eastAsia="Arial" w:hAnsi="Arial"/>
          <w:sz w:val="20"/>
          <w:szCs w:val="20"/>
          <w:color w:val="auto"/>
        </w:rPr>
        <w:t>. If you remain employed (which includes other service relationships described in Section 5 of the Plan) by the Company or any of its Affiliates continuously from the Grant Date specified on the cover page of this Agreement to a Scheduled Vesting Date, then the Achieved Units will vest on such Scheduled Vesting Date.</w:t>
      </w:r>
    </w:p>
    <w:p>
      <w:pPr>
        <w:spacing w:after="0" w:line="195" w:lineRule="exact"/>
        <w:rPr>
          <w:rFonts w:ascii="Arial" w:cs="Arial" w:eastAsia="Arial" w:hAnsi="Arial"/>
          <w:sz w:val="18"/>
          <w:szCs w:val="18"/>
          <w:color w:val="auto"/>
        </w:rPr>
      </w:pPr>
    </w:p>
    <w:p>
      <w:pPr>
        <w:ind w:left="660" w:hanging="328"/>
        <w:spacing w:after="0" w:line="229" w:lineRule="auto"/>
        <w:tabs>
          <w:tab w:leader="none" w:pos="752" w:val="left"/>
        </w:tabs>
        <w:numPr>
          <w:ilvl w:val="1"/>
          <w:numId w:val="24"/>
        </w:numPr>
        <w:rPr>
          <w:rFonts w:ascii="Arial" w:cs="Arial" w:eastAsia="Arial" w:hAnsi="Arial"/>
          <w:sz w:val="18"/>
          <w:szCs w:val="18"/>
          <w:color w:val="auto"/>
        </w:rPr>
      </w:pPr>
      <w:r>
        <w:rPr>
          <w:rFonts w:ascii="Arial" w:cs="Arial" w:eastAsia="Arial" w:hAnsi="Arial"/>
          <w:sz w:val="20"/>
          <w:szCs w:val="20"/>
          <w:u w:val="single" w:color="auto"/>
          <w:color w:val="auto"/>
        </w:rPr>
        <w:t>Effect of Change in Control</w:t>
      </w:r>
      <w:r>
        <w:rPr>
          <w:rFonts w:ascii="Arial" w:cs="Arial" w:eastAsia="Arial" w:hAnsi="Arial"/>
          <w:sz w:val="20"/>
          <w:szCs w:val="20"/>
          <w:color w:val="auto"/>
        </w:rPr>
        <w:t>. The following provisions shall apply if a Change in Control (as defined in Section 3(d)) occurs while Units remain outstanding pursuant to this Award.</w:t>
      </w:r>
    </w:p>
    <w:p>
      <w:pPr>
        <w:spacing w:after="0" w:line="195" w:lineRule="exact"/>
        <w:rPr>
          <w:rFonts w:ascii="Arial" w:cs="Arial" w:eastAsia="Arial" w:hAnsi="Arial"/>
          <w:sz w:val="18"/>
          <w:szCs w:val="18"/>
          <w:color w:val="auto"/>
        </w:rPr>
      </w:pPr>
    </w:p>
    <w:p>
      <w:pPr>
        <w:jc w:val="both"/>
        <w:ind w:left="980" w:hanging="324"/>
        <w:spacing w:after="0" w:line="221" w:lineRule="auto"/>
        <w:tabs>
          <w:tab w:leader="none" w:pos="1048" w:val="left"/>
        </w:tabs>
        <w:numPr>
          <w:ilvl w:val="2"/>
          <w:numId w:val="24"/>
        </w:numPr>
        <w:rPr>
          <w:rFonts w:ascii="Arial" w:cs="Arial" w:eastAsia="Arial" w:hAnsi="Arial"/>
          <w:sz w:val="17"/>
          <w:szCs w:val="17"/>
          <w:color w:val="auto"/>
        </w:rPr>
      </w:pPr>
      <w:r>
        <w:rPr>
          <w:rFonts w:ascii="Arial" w:cs="Arial" w:eastAsia="Arial" w:hAnsi="Arial"/>
          <w:sz w:val="19"/>
          <w:szCs w:val="19"/>
          <w:color w:val="auto"/>
        </w:rPr>
        <w:t xml:space="preserve">If the surviving or successor entity (which may include the Company), or such entity’s parent corporation, continues, assumes or replaces this Award (with such adjustments as may be required or permitted by Section 17 of the Plan), this Award or its replacement shall remain outstanding and be governed by its terms, including Section 3(c)(3) below; provided, however, that this Award shall be deemed achieved as to the Units for any Measurement Period for which the Committee has not yet certified the performance results, without regard to satisfaction of the performance goals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and such Units shall be the “Achieved Units” and such Achieved Units shall vest on the last day of the Measurement Period. For these purposes, this Award shall be considered assumed or replaced if, in connection with the Change in Control, either (i) the contractual obligations represented by the Award are expressly assumed by the surviving or successor entity (or its parent corporation) with appropriate adjustments to the number and type of securities subject to the Award that preserves the intrinsic value of the Award existing at the time of the Change in Control, or (ii) you have received a comparable equity-based award that preserves the intrinsic value of this Award existing at the time of the Change in Control and contains terms and conditions that are substantially similar to those of this Award.</w:t>
      </w:r>
    </w:p>
    <w:p>
      <w:pPr>
        <w:spacing w:after="0" w:line="204" w:lineRule="exact"/>
        <w:rPr>
          <w:rFonts w:ascii="Arial" w:cs="Arial" w:eastAsia="Arial" w:hAnsi="Arial"/>
          <w:sz w:val="17"/>
          <w:szCs w:val="17"/>
          <w:color w:val="auto"/>
        </w:rPr>
      </w:pPr>
    </w:p>
    <w:p>
      <w:pPr>
        <w:jc w:val="both"/>
        <w:ind w:left="980" w:hanging="324"/>
        <w:spacing w:after="0" w:line="235" w:lineRule="auto"/>
        <w:tabs>
          <w:tab w:leader="none" w:pos="1127" w:val="left"/>
        </w:tabs>
        <w:numPr>
          <w:ilvl w:val="2"/>
          <w:numId w:val="24"/>
        </w:numPr>
        <w:rPr>
          <w:rFonts w:ascii="Arial" w:cs="Arial" w:eastAsia="Arial" w:hAnsi="Arial"/>
          <w:sz w:val="17"/>
          <w:szCs w:val="17"/>
          <w:color w:val="auto"/>
        </w:rPr>
      </w:pPr>
      <w:r>
        <w:rPr>
          <w:rFonts w:ascii="Arial" w:cs="Arial" w:eastAsia="Arial" w:hAnsi="Arial"/>
          <w:sz w:val="19"/>
          <w:szCs w:val="19"/>
          <w:color w:val="auto"/>
        </w:rPr>
        <w:t>If and to the extent that this Award is not continued, assumed or replaced in connection with a Change in Control, then the number of Units set forth on the first page of this Performance Stock Unit Award Agreement shall vest (to the extent not already vested) at or immediately prior to the effective time of the Change in Control. The Committee may alternatively</w:t>
      </w:r>
    </w:p>
    <w:p>
      <w:pPr>
        <w:sectPr>
          <w:pgSz w:w="11900" w:h="16838" w:orient="portrait"/>
          <w:cols w:equalWidth="0" w:num="1">
            <w:col w:w="11240"/>
          </w:cols>
          <w:pgMar w:left="320" w:top="1394" w:right="339" w:bottom="1440" w:gutter="0" w:footer="0" w:header="0"/>
        </w:sectPr>
      </w:pPr>
    </w:p>
    <w:bookmarkStart w:id="35" w:name="page36"/>
    <w:bookmarkEnd w:id="35"/>
    <w:p>
      <w:pPr>
        <w:ind w:left="972"/>
        <w:spacing w:after="0"/>
        <w:rPr>
          <w:sz w:val="20"/>
          <w:szCs w:val="20"/>
          <w:color w:val="auto"/>
        </w:rPr>
      </w:pPr>
      <w:r>
        <w:rPr>
          <w:rFonts w:ascii="Arial" w:cs="Arial" w:eastAsia="Arial" w:hAnsi="Arial"/>
          <w:sz w:val="18"/>
          <w:szCs w:val="18"/>
          <w:color w:val="auto"/>
        </w:rPr>
        <w:t>provide that this Award shall be canceled at or immediately prior to the effective time of the Change in Control in exchange for a</w:t>
      </w:r>
    </w:p>
    <w:p>
      <w:pPr>
        <w:spacing w:after="0" w:line="12" w:lineRule="exact"/>
        <w:rPr>
          <w:sz w:val="20"/>
          <w:szCs w:val="20"/>
          <w:color w:val="auto"/>
        </w:rPr>
      </w:pPr>
    </w:p>
    <w:p>
      <w:pPr>
        <w:ind w:left="972"/>
        <w:spacing w:after="0" w:line="226" w:lineRule="auto"/>
        <w:rPr>
          <w:sz w:val="20"/>
          <w:szCs w:val="20"/>
          <w:color w:val="auto"/>
        </w:rPr>
      </w:pPr>
      <w:r>
        <w:rPr>
          <w:rFonts w:ascii="Arial" w:cs="Arial" w:eastAsia="Arial" w:hAnsi="Arial"/>
          <w:sz w:val="18"/>
          <w:szCs w:val="18"/>
          <w:color w:val="auto"/>
        </w:rPr>
        <w:t>payment to you in an amount equal to the fair market value (as determined in good faith by the Committee) of the consideration that would otherwise be received in the Change in Control transaction by a Company stockholder for the number of Shares for</w:t>
      </w:r>
    </w:p>
    <w:p>
      <w:pPr>
        <w:ind w:left="972"/>
        <w:spacing w:after="0" w:line="236" w:lineRule="auto"/>
        <w:rPr>
          <w:sz w:val="20"/>
          <w:szCs w:val="20"/>
          <w:color w:val="auto"/>
        </w:rPr>
      </w:pPr>
      <w:r>
        <w:rPr>
          <w:rFonts w:ascii="Arial" w:cs="Arial" w:eastAsia="Arial" w:hAnsi="Arial"/>
          <w:sz w:val="18"/>
          <w:szCs w:val="18"/>
          <w:color w:val="auto"/>
        </w:rPr>
        <w:t>which outstanding Units could then be settled (or, if no consideration would be received by the Company’s stockholders in the</w:t>
      </w:r>
    </w:p>
    <w:p>
      <w:pPr>
        <w:spacing w:after="0" w:line="1" w:lineRule="exact"/>
        <w:rPr>
          <w:sz w:val="20"/>
          <w:szCs w:val="20"/>
          <w:color w:val="auto"/>
        </w:rPr>
      </w:pPr>
    </w:p>
    <w:p>
      <w:pPr>
        <w:ind w:left="972"/>
        <w:spacing w:after="0" w:line="226" w:lineRule="auto"/>
        <w:rPr>
          <w:sz w:val="20"/>
          <w:szCs w:val="20"/>
          <w:color w:val="auto"/>
        </w:rPr>
      </w:pPr>
      <w:r>
        <w:rPr>
          <w:rFonts w:ascii="Arial" w:cs="Arial" w:eastAsia="Arial" w:hAnsi="Arial"/>
          <w:sz w:val="18"/>
          <w:szCs w:val="18"/>
          <w:color w:val="auto"/>
        </w:rPr>
        <w:t>Change of Control transaction, the fair market value (as determined in good faith by the Committee) of such number of Shares immediately prior to the Change in Control). Payment of any such amount may be made in such form, on such terms and subject</w:t>
      </w:r>
    </w:p>
    <w:p>
      <w:pPr>
        <w:ind w:left="972"/>
        <w:spacing w:after="0" w:line="236" w:lineRule="auto"/>
        <w:rPr>
          <w:sz w:val="20"/>
          <w:szCs w:val="20"/>
          <w:color w:val="auto"/>
        </w:rPr>
      </w:pPr>
      <w:r>
        <w:rPr>
          <w:rFonts w:ascii="Arial" w:cs="Arial" w:eastAsia="Arial" w:hAnsi="Arial"/>
          <w:sz w:val="18"/>
          <w:szCs w:val="18"/>
          <w:color w:val="auto"/>
        </w:rPr>
        <w:t>to such conditions as the Committee determines in its discretion, which may or may not be the same as the form, terms and</w:t>
      </w:r>
    </w:p>
    <w:p>
      <w:pPr>
        <w:spacing w:after="0" w:line="1" w:lineRule="exact"/>
        <w:rPr>
          <w:sz w:val="20"/>
          <w:szCs w:val="20"/>
          <w:color w:val="auto"/>
        </w:rPr>
      </w:pPr>
    </w:p>
    <w:p>
      <w:pPr>
        <w:ind w:left="972"/>
        <w:spacing w:after="0" w:line="226" w:lineRule="auto"/>
        <w:rPr>
          <w:sz w:val="20"/>
          <w:szCs w:val="20"/>
          <w:color w:val="auto"/>
        </w:rPr>
      </w:pPr>
      <w:r>
        <w:rPr>
          <w:rFonts w:ascii="Arial" w:cs="Arial" w:eastAsia="Arial" w:hAnsi="Arial"/>
          <w:sz w:val="18"/>
          <w:szCs w:val="18"/>
          <w:color w:val="auto"/>
        </w:rPr>
        <w:t>conditions applicable to payments to the Company’s stockholders in connection with the Change in Control, and may, in the Committee’s discretion, include subjecting such payments to escrow or holdback terms comparable to those imposed upon the</w:t>
      </w:r>
    </w:p>
    <w:p>
      <w:pPr>
        <w:spacing w:after="0" w:line="2" w:lineRule="exact"/>
        <w:rPr>
          <w:sz w:val="20"/>
          <w:szCs w:val="20"/>
          <w:color w:val="auto"/>
        </w:rPr>
      </w:pPr>
    </w:p>
    <w:p>
      <w:pPr>
        <w:ind w:left="972"/>
        <w:spacing w:after="0" w:line="227" w:lineRule="auto"/>
        <w:rPr>
          <w:sz w:val="20"/>
          <w:szCs w:val="20"/>
          <w:color w:val="auto"/>
        </w:rPr>
      </w:pPr>
      <w:r>
        <w:rPr>
          <w:rFonts w:ascii="Arial" w:cs="Arial" w:eastAsia="Arial" w:hAnsi="Arial"/>
          <w:sz w:val="20"/>
          <w:szCs w:val="20"/>
          <w:color w:val="auto"/>
        </w:rPr>
        <w:t>Company’s stockholders under the Change in Control, or calculating and paying the present value of payments that would otherwise be subject to escrow or holdback terms.</w:t>
      </w:r>
    </w:p>
    <w:p>
      <w:pPr>
        <w:spacing w:after="0" w:line="183" w:lineRule="exact"/>
        <w:rPr>
          <w:sz w:val="20"/>
          <w:szCs w:val="20"/>
          <w:color w:val="auto"/>
        </w:rPr>
      </w:pPr>
    </w:p>
    <w:p>
      <w:pPr>
        <w:jc w:val="both"/>
        <w:ind w:left="972" w:hanging="324"/>
        <w:spacing w:after="0" w:line="220" w:lineRule="auto"/>
        <w:tabs>
          <w:tab w:leader="none" w:pos="1068" w:val="left"/>
        </w:tabs>
        <w:numPr>
          <w:ilvl w:val="2"/>
          <w:numId w:val="25"/>
        </w:numPr>
        <w:rPr>
          <w:rFonts w:ascii="Arial" w:cs="Arial" w:eastAsia="Arial" w:hAnsi="Arial"/>
          <w:sz w:val="18"/>
          <w:szCs w:val="18"/>
          <w:color w:val="auto"/>
        </w:rPr>
      </w:pPr>
      <w:r>
        <w:rPr>
          <w:rFonts w:ascii="Arial" w:cs="Arial" w:eastAsia="Arial" w:hAnsi="Arial"/>
          <w:sz w:val="20"/>
          <w:szCs w:val="20"/>
          <w:color w:val="auto"/>
        </w:rPr>
        <w:t>If and to the extent that this Award is continued, assumed or replaced under the circumstances described in Section 3(c)(1), the Award and if within 12 months after the Change in Control you experience an Employment Termination Event (as defined in Section 3(e)), then this Award and the number of Units set forth on the first page of this Performance Stock Unit Award Agreement shall immediately vest (to the extent not already vested).</w:t>
      </w:r>
    </w:p>
    <w:p>
      <w:pPr>
        <w:spacing w:after="0" w:line="196"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w:t>
      </w:r>
      <w:r>
        <w:rPr>
          <w:rFonts w:ascii="Arial" w:cs="Arial" w:eastAsia="Arial" w:hAnsi="Arial"/>
          <w:sz w:val="20"/>
          <w:szCs w:val="20"/>
          <w:i w:val="1"/>
          <w:iCs w:val="1"/>
          <w:color w:val="auto"/>
        </w:rPr>
        <w:t>Change in Control</w:t>
      </w:r>
      <w:r>
        <w:rPr>
          <w:rFonts w:ascii="Arial" w:cs="Arial" w:eastAsia="Arial" w:hAnsi="Arial"/>
          <w:sz w:val="20"/>
          <w:szCs w:val="20"/>
          <w:color w:val="auto"/>
        </w:rPr>
        <w:t>” means one of the following:</w:t>
      </w:r>
    </w:p>
    <w:p>
      <w:pPr>
        <w:spacing w:after="0" w:line="215" w:lineRule="exact"/>
        <w:rPr>
          <w:rFonts w:ascii="Arial" w:cs="Arial" w:eastAsia="Arial" w:hAnsi="Arial"/>
          <w:sz w:val="18"/>
          <w:szCs w:val="18"/>
          <w:color w:val="auto"/>
        </w:rPr>
      </w:pPr>
    </w:p>
    <w:p>
      <w:pPr>
        <w:ind w:left="972" w:hanging="648"/>
        <w:spacing w:after="0" w:line="233" w:lineRule="auto"/>
        <w:tabs>
          <w:tab w:leader="none" w:pos="682" w:val="left"/>
        </w:tabs>
        <w:numPr>
          <w:ilvl w:val="1"/>
          <w:numId w:val="26"/>
        </w:numPr>
        <w:rPr>
          <w:rFonts w:ascii="Arial" w:cs="Arial" w:eastAsia="Arial" w:hAnsi="Arial"/>
          <w:sz w:val="16"/>
          <w:szCs w:val="16"/>
          <w:color w:val="auto"/>
        </w:rPr>
      </w:pPr>
      <w:r>
        <w:rPr>
          <w:rFonts w:ascii="Arial" w:cs="Arial" w:eastAsia="Arial" w:hAnsi="Arial"/>
          <w:sz w:val="18"/>
          <w:szCs w:val="18"/>
          <w:color w:val="auto"/>
        </w:rPr>
        <w:t>any individual, entity or Group (a “</w:t>
      </w:r>
      <w:r>
        <w:rPr>
          <w:rFonts w:ascii="Arial" w:cs="Arial" w:eastAsia="Arial" w:hAnsi="Arial"/>
          <w:sz w:val="18"/>
          <w:szCs w:val="18"/>
          <w:i w:val="1"/>
          <w:iCs w:val="1"/>
          <w:color w:val="auto"/>
        </w:rPr>
        <w:t>Person</w:t>
      </w:r>
      <w:r>
        <w:rPr>
          <w:rFonts w:ascii="Arial" w:cs="Arial" w:eastAsia="Arial" w:hAnsi="Arial"/>
          <w:sz w:val="18"/>
          <w:szCs w:val="18"/>
          <w:color w:val="auto"/>
        </w:rPr>
        <w:t>”) becomes a “beneficial owner” (as defined in Rule 13d-3 or any successor rule under the Exchange Act), directly or indirectly, of 30% or more of the combined voting power of the Company’s voting securities, except that the following shall not constitute a Change in Control: (A) any acquisition or beneficial ownership by the Company or a Subsidiary; (B) any acquisition or beneficial ownership by any employee benefit plan (or related trust) sponsored or maintained by the Company or one or more Subsidiary; (C) any formation of a Group consisting solely of beneficial owners of the Company’s voting securities as of the effective date of the Plan, or any repurchase or other acquisition by the Company of its voting securities that causes any Person to become the beneficial owner of 30% or more of the Company’s voting securities, in either case so long as such Person does not acquire beneficial ownership of additional Company voting securities after the Person initially became the beneficial owner of 30% or more of the Company’s voting securities by one of the means described in this clause (C); or (D) any acquisition of beneficial ownership by any entity with respect to which, immediately following such acquisition, more than 50% of the combined voting power of such entity’s then outstanding voting securities is beneficially owned, directly or indirectly, by all or substantially all of the Persons who beneficially owned the Company’s voting securities immediately prior to such acquisition in substantially the same proportions as their ownership of the Company’s voting securities immediately prior to such acquisition;</w:t>
      </w:r>
    </w:p>
    <w:p>
      <w:pPr>
        <w:spacing w:after="0" w:line="197" w:lineRule="exact"/>
        <w:rPr>
          <w:rFonts w:ascii="Arial" w:cs="Arial" w:eastAsia="Arial" w:hAnsi="Arial"/>
          <w:sz w:val="16"/>
          <w:szCs w:val="16"/>
          <w:color w:val="auto"/>
        </w:rPr>
      </w:pPr>
    </w:p>
    <w:p>
      <w:pPr>
        <w:ind w:left="972" w:hanging="648"/>
        <w:spacing w:after="0" w:line="231" w:lineRule="auto"/>
        <w:tabs>
          <w:tab w:leader="none" w:pos="781" w:val="left"/>
        </w:tabs>
        <w:numPr>
          <w:ilvl w:val="1"/>
          <w:numId w:val="26"/>
        </w:numPr>
        <w:rPr>
          <w:rFonts w:ascii="Arial" w:cs="Arial" w:eastAsia="Arial" w:hAnsi="Arial"/>
          <w:sz w:val="17"/>
          <w:szCs w:val="17"/>
          <w:color w:val="auto"/>
        </w:rPr>
      </w:pPr>
      <w:r>
        <w:rPr>
          <w:rFonts w:ascii="Arial" w:cs="Arial" w:eastAsia="Arial" w:hAnsi="Arial"/>
          <w:sz w:val="19"/>
          <w:szCs w:val="19"/>
          <w:color w:val="auto"/>
        </w:rPr>
        <w:t>individuals (A) who are, as of the effective date of the Plan, directors of the Company, or (B) who are elected as directors of the Company subsequent to the Grant Date and whose initial election, or nomination for initial election by the Company’s stockholders, was approved by at least a majority of the then Continuing Directors (collectively, “</w:t>
      </w:r>
      <w:r>
        <w:rPr>
          <w:rFonts w:ascii="Arial" w:cs="Arial" w:eastAsia="Arial" w:hAnsi="Arial"/>
          <w:sz w:val="19"/>
          <w:szCs w:val="19"/>
          <w:i w:val="1"/>
          <w:iCs w:val="1"/>
          <w:color w:val="auto"/>
        </w:rPr>
        <w:t>Continuing Directors</w:t>
      </w:r>
      <w:r>
        <w:rPr>
          <w:rFonts w:ascii="Arial" w:cs="Arial" w:eastAsia="Arial" w:hAnsi="Arial"/>
          <w:sz w:val="19"/>
          <w:szCs w:val="19"/>
          <w:color w:val="auto"/>
        </w:rPr>
        <w:t>”) cease for any reason, within a period of twelve months, to constitute a majority of the members of the Board; or</w:t>
      </w:r>
    </w:p>
    <w:p>
      <w:pPr>
        <w:spacing w:after="0" w:line="184" w:lineRule="exact"/>
        <w:rPr>
          <w:rFonts w:ascii="Arial" w:cs="Arial" w:eastAsia="Arial" w:hAnsi="Arial"/>
          <w:sz w:val="17"/>
          <w:szCs w:val="17"/>
          <w:color w:val="auto"/>
        </w:rPr>
      </w:pPr>
    </w:p>
    <w:p>
      <w:pPr>
        <w:ind w:left="972" w:hanging="648"/>
        <w:spacing w:after="0" w:line="220" w:lineRule="auto"/>
        <w:tabs>
          <w:tab w:leader="none" w:pos="774" w:val="left"/>
        </w:tabs>
        <w:numPr>
          <w:ilvl w:val="1"/>
          <w:numId w:val="26"/>
        </w:numPr>
        <w:rPr>
          <w:rFonts w:ascii="Arial" w:cs="Arial" w:eastAsia="Arial" w:hAnsi="Arial"/>
          <w:sz w:val="18"/>
          <w:szCs w:val="18"/>
          <w:color w:val="auto"/>
        </w:rPr>
      </w:pPr>
      <w:r>
        <w:rPr>
          <w:rFonts w:ascii="Arial" w:cs="Arial" w:eastAsia="Arial" w:hAnsi="Arial"/>
          <w:sz w:val="20"/>
          <w:szCs w:val="20"/>
          <w:color w:val="auto"/>
        </w:rPr>
        <w:t>the consummation of a Fundamental Change unless, immediately following such Fundamental Change, all or substantially all of the Persons who were the beneficial owners of the Company’s voting securities immediately prior to such Fundamental Change beneficially own, directly or indirectly, more than 50% of the combined voting power of the then outstanding voting securities of the surviving or acquiring entity (or its Parent) resulting from</w:t>
      </w:r>
    </w:p>
    <w:p>
      <w:pPr>
        <w:sectPr>
          <w:pgSz w:w="11900" w:h="16838" w:orient="portrait"/>
          <w:cols w:equalWidth="0" w:num="1">
            <w:col w:w="11232"/>
          </w:cols>
          <w:pgMar w:left="328" w:top="1405" w:right="339" w:bottom="1440" w:gutter="0" w:footer="0" w:header="0"/>
        </w:sectPr>
      </w:pPr>
    </w:p>
    <w:bookmarkStart w:id="36" w:name="page37"/>
    <w:bookmarkEnd w:id="36"/>
    <w:p>
      <w:pPr>
        <w:ind w:left="972"/>
        <w:spacing w:after="0" w:line="236" w:lineRule="auto"/>
        <w:rPr>
          <w:sz w:val="20"/>
          <w:szCs w:val="20"/>
          <w:color w:val="auto"/>
        </w:rPr>
      </w:pPr>
      <w:r>
        <w:rPr>
          <w:rFonts w:ascii="Arial" w:cs="Arial" w:eastAsia="Arial" w:hAnsi="Arial"/>
          <w:sz w:val="20"/>
          <w:szCs w:val="20"/>
          <w:color w:val="auto"/>
        </w:rPr>
        <w:t>such Fundamental Change in substantially the same proportions as their ownership, immediately prior to such Fundamental Change, of the Company’s voting securities.</w:t>
      </w:r>
    </w:p>
    <w:p>
      <w:pPr>
        <w:spacing w:after="0" w:line="182" w:lineRule="exact"/>
        <w:rPr>
          <w:sz w:val="20"/>
          <w:szCs w:val="20"/>
          <w:color w:val="auto"/>
        </w:rPr>
      </w:pPr>
    </w:p>
    <w:p>
      <w:pPr>
        <w:jc w:val="right"/>
        <w:ind w:left="332"/>
        <w:spacing w:after="0" w:line="244" w:lineRule="auto"/>
        <w:rPr>
          <w:sz w:val="20"/>
          <w:szCs w:val="20"/>
          <w:color w:val="auto"/>
        </w:rPr>
      </w:pPr>
      <w:r>
        <w:rPr>
          <w:rFonts w:ascii="Arial" w:cs="Arial" w:eastAsia="Arial" w:hAnsi="Arial"/>
          <w:sz w:val="18"/>
          <w:szCs w:val="18"/>
          <w:color w:val="auto"/>
        </w:rPr>
        <w:t>Notwithstanding the foregoing, to the extent that this Award constitutes a deferral of compensation subject to Code Section 409A, then no Change in Control shall be deemed to have occurred upon an event described in this Section 3(d) unless the event would also</w:t>
      </w:r>
    </w:p>
    <w:p>
      <w:pPr>
        <w:ind w:left="972"/>
        <w:spacing w:after="0" w:line="220" w:lineRule="auto"/>
        <w:rPr>
          <w:sz w:val="20"/>
          <w:szCs w:val="20"/>
          <w:color w:val="auto"/>
        </w:rPr>
      </w:pPr>
      <w:r>
        <w:rPr>
          <w:rFonts w:ascii="Arial" w:cs="Arial" w:eastAsia="Arial" w:hAnsi="Arial"/>
          <w:sz w:val="20"/>
          <w:szCs w:val="20"/>
          <w:color w:val="auto"/>
        </w:rPr>
        <w:t>constitute a change in ownership or effective control of, or a change in the ownership of a substantial portion of the assets of, the Company under Code Section 409A.</w:t>
      </w:r>
    </w:p>
    <w:p>
      <w:pPr>
        <w:spacing w:after="0" w:line="197" w:lineRule="exact"/>
        <w:rPr>
          <w:sz w:val="20"/>
          <w:szCs w:val="20"/>
          <w:color w:val="auto"/>
        </w:rPr>
      </w:pPr>
    </w:p>
    <w:p>
      <w:pPr>
        <w:jc w:val="both"/>
        <w:ind w:left="332" w:hanging="332"/>
        <w:spacing w:after="0" w:line="223" w:lineRule="auto"/>
        <w:tabs>
          <w:tab w:leader="none" w:pos="414" w:val="left"/>
        </w:tabs>
        <w:numPr>
          <w:ilvl w:val="0"/>
          <w:numId w:val="27"/>
        </w:numPr>
        <w:rPr>
          <w:rFonts w:ascii="Arial" w:cs="Arial" w:eastAsia="Arial" w:hAnsi="Arial"/>
          <w:sz w:val="18"/>
          <w:szCs w:val="18"/>
          <w:color w:val="auto"/>
        </w:rPr>
      </w:pPr>
      <w:r>
        <w:rPr>
          <w:rFonts w:ascii="Arial" w:cs="Arial" w:eastAsia="Arial" w:hAnsi="Arial"/>
          <w:sz w:val="20"/>
          <w:szCs w:val="20"/>
          <w:u w:val="single" w:color="auto"/>
          <w:color w:val="auto"/>
        </w:rPr>
        <w:t>Employment Termination Event</w:t>
      </w:r>
      <w:r>
        <w:rPr>
          <w:rFonts w:ascii="Arial" w:cs="Arial" w:eastAsia="Arial" w:hAnsi="Arial"/>
          <w:sz w:val="20"/>
          <w:szCs w:val="20"/>
          <w:color w:val="auto"/>
        </w:rPr>
        <w:t>. An “</w:t>
      </w:r>
      <w:r>
        <w:rPr>
          <w:rFonts w:ascii="Arial" w:cs="Arial" w:eastAsia="Arial" w:hAnsi="Arial"/>
          <w:sz w:val="20"/>
          <w:szCs w:val="20"/>
          <w:i w:val="1"/>
          <w:iCs w:val="1"/>
          <w:color w:val="auto"/>
        </w:rPr>
        <w:t>Employment Termination Event</w:t>
      </w:r>
      <w:r>
        <w:rPr>
          <w:rFonts w:ascii="Arial" w:cs="Arial" w:eastAsia="Arial" w:hAnsi="Arial"/>
          <w:sz w:val="20"/>
          <w:szCs w:val="20"/>
          <w:color w:val="auto"/>
        </w:rPr>
        <w:t>” will be deemed to have occurred upon either: (i) the involuntary termination of your employment for reasons other than Cause (as defined in Section 3(f)), or (ii) the voluntary termination of your employment for Good Reason (as defined in Section 3(g)).</w:t>
      </w:r>
    </w:p>
    <w:p>
      <w:pPr>
        <w:spacing w:after="0" w:line="195" w:lineRule="exact"/>
        <w:rPr>
          <w:rFonts w:ascii="Arial" w:cs="Arial" w:eastAsia="Arial" w:hAnsi="Arial"/>
          <w:sz w:val="18"/>
          <w:szCs w:val="18"/>
          <w:color w:val="auto"/>
        </w:rPr>
      </w:pPr>
    </w:p>
    <w:p>
      <w:pPr>
        <w:jc w:val="both"/>
        <w:ind w:left="332" w:hanging="332"/>
        <w:spacing w:after="0" w:line="212"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w:t>
      </w:r>
      <w:r>
        <w:rPr>
          <w:rFonts w:ascii="Arial" w:cs="Arial" w:eastAsia="Arial" w:hAnsi="Arial"/>
          <w:sz w:val="20"/>
          <w:szCs w:val="20"/>
          <w:i w:val="1"/>
          <w:iCs w:val="1"/>
          <w:color w:val="auto"/>
        </w:rPr>
        <w:t>Cause</w:t>
      </w:r>
      <w:r>
        <w:rPr>
          <w:rFonts w:ascii="Arial" w:cs="Arial" w:eastAsia="Arial" w:hAnsi="Arial"/>
          <w:sz w:val="20"/>
          <w:szCs w:val="20"/>
          <w:color w:val="auto"/>
        </w:rPr>
        <w:t>” means only the following: (i) your indictment or conviction of, or a plea of nolo contendere to, (A) any felony (other than any felony arising out of negligence), or any misdemeanor involving moral turpitude with respect to the Company, or (B) your commission any crime or offense involving dishonesty with respect to the Company; (ii) theft or embezzlement by you of Company property or commission of similar acts involving dishonesty or moral turpitude; (iii) repeated material negligence in the performance of your duties after you have received written notice of the same; (iv) your failure to devote substantially all of your working time and efforts during normal business hours to the Company’s business; (v) your knowing engagement in conduct that is materially injurious to the Company; or (vi) your knowingly providing materially misleading information concerning the Company to the Company’s Board of Directors, any governmental body or regulatory agency or to any lender or other financing source or proposed financing source of the Company.</w:t>
      </w:r>
    </w:p>
    <w:p>
      <w:pPr>
        <w:spacing w:after="0" w:line="196" w:lineRule="exact"/>
        <w:rPr>
          <w:rFonts w:ascii="Arial" w:cs="Arial" w:eastAsia="Arial" w:hAnsi="Arial"/>
          <w:sz w:val="18"/>
          <w:szCs w:val="18"/>
          <w:color w:val="auto"/>
        </w:rPr>
      </w:pPr>
    </w:p>
    <w:p>
      <w:pPr>
        <w:jc w:val="both"/>
        <w:ind w:left="332" w:hanging="332"/>
        <w:spacing w:after="0" w:line="238" w:lineRule="auto"/>
        <w:tabs>
          <w:tab w:leader="none" w:pos="465" w:val="left"/>
        </w:tabs>
        <w:numPr>
          <w:ilvl w:val="0"/>
          <w:numId w:val="27"/>
        </w:numPr>
        <w:rPr>
          <w:rFonts w:ascii="Arial" w:cs="Arial" w:eastAsia="Arial" w:hAnsi="Arial"/>
          <w:sz w:val="16"/>
          <w:szCs w:val="16"/>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i w:val="1"/>
          <w:iCs w:val="1"/>
          <w:color w:val="auto"/>
        </w:rPr>
        <w:t>Good Reason</w:t>
      </w:r>
      <w:r>
        <w:rPr>
          <w:rFonts w:ascii="Arial" w:cs="Arial" w:eastAsia="Arial" w:hAnsi="Arial"/>
          <w:sz w:val="18"/>
          <w:szCs w:val="18"/>
          <w:color w:val="auto"/>
        </w:rPr>
        <w:t>” means the existence of one or more of the following conditions without your consent, so long as you provided written notice to the Company of the existence of the condition not later than 90 days after the initial existence of the condition, the condition has not been remedied within 30 after receipt of such notice, and you terminate your employment with the Company within 140 days of the initial existence of the condition: (i) the failure of the Company to pay any material amount due to you under a prevailing Employment Agreement; (ii) a meaningful diminution, without Cause, as defined above, in your responsibilities or job functions unless approved by you; (iii) a material reduction in your total compensation potential as defined by annual base salary and cash compensation targets; or (iv) your relocation to an office location greater than 50 miles from your office location at the time of a Change in Control.</w:t>
      </w:r>
    </w:p>
    <w:p>
      <w:pPr>
        <w:spacing w:after="0" w:line="177" w:lineRule="exact"/>
        <w:rPr>
          <w:sz w:val="20"/>
          <w:szCs w:val="20"/>
          <w:color w:val="auto"/>
        </w:rPr>
      </w:pPr>
    </w:p>
    <w:p>
      <w:pPr>
        <w:jc w:val="both"/>
        <w:ind w:left="-8" w:firstLine="8"/>
        <w:spacing w:after="0" w:line="227" w:lineRule="auto"/>
        <w:tabs>
          <w:tab w:leader="none" w:pos="332" w:val="left"/>
        </w:tabs>
        <w:numPr>
          <w:ilvl w:val="0"/>
          <w:numId w:val="28"/>
        </w:numPr>
        <w:rPr>
          <w:rFonts w:ascii="Arial" w:cs="Arial" w:eastAsia="Arial" w:hAnsi="Arial"/>
          <w:sz w:val="17"/>
          <w:szCs w:val="17"/>
          <w:color w:val="auto"/>
        </w:rPr>
      </w:pPr>
      <w:r>
        <w:rPr>
          <w:rFonts w:ascii="Arial" w:cs="Arial" w:eastAsia="Arial" w:hAnsi="Arial"/>
          <w:sz w:val="19"/>
          <w:szCs w:val="19"/>
          <w:b w:val="1"/>
          <w:bCs w:val="1"/>
          <w:color w:val="auto"/>
        </w:rPr>
        <w:t>Effect of Termination of Employment</w:t>
      </w:r>
      <w:r>
        <w:rPr>
          <w:rFonts w:ascii="Arial" w:cs="Arial" w:eastAsia="Arial" w:hAnsi="Arial"/>
          <w:sz w:val="19"/>
          <w:szCs w:val="19"/>
          <w:color w:val="auto"/>
        </w:rPr>
        <w:t>. Except as otherwise provided in accordance with Section 3(c)(3) or this Section 4, if you cease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be employed by the Company or any of its Affiliates prior to any of the Scheduled Vesting Date(s) specified on the cover page of this Agreement, you will forfeit all unvested Units. In the event of your termination of employment due to your death or disability (within the meaning of Section 22(e)(3) of the Code), (i) you or your designated beneficiary will receive any Achieved Units for a Measurement Period that concluded prior to your death or disability, and (ii) the Units will remain outstanding until the next Scheduled Vesting Date, and a pro-rated portion of the Achieved Units for a Measurement Period that concludes after your death or disability shall continue to be eligible to vest and you, or your designated beneficiary or estate in the event of your death, will receive such pro-rated payout of the Achieved Units you would otherwise have received if your employment had continued until the Scheduled Vesting Date. The pro-rated portion shall be determined by multiplying the total number of Achieved Units for all Measurement Periods within the Performance Period that conclude after your death or disability as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by a fraction, the numerator of which is the number of days you were employed during the applicable Measurement Period, and the denominator of which is the total number of days in the applicable Measurement Period.</w:t>
      </w:r>
    </w:p>
    <w:p>
      <w:pPr>
        <w:spacing w:after="0" w:line="193" w:lineRule="exact"/>
        <w:rPr>
          <w:rFonts w:ascii="Arial" w:cs="Arial" w:eastAsia="Arial" w:hAnsi="Arial"/>
          <w:sz w:val="17"/>
          <w:szCs w:val="17"/>
          <w:color w:val="auto"/>
        </w:rPr>
      </w:pPr>
    </w:p>
    <w:p>
      <w:pPr>
        <w:jc w:val="both"/>
        <w:ind w:left="-8" w:firstLine="8"/>
        <w:spacing w:after="0" w:line="225" w:lineRule="auto"/>
        <w:tabs>
          <w:tab w:leader="none" w:pos="366" w:val="left"/>
        </w:tabs>
        <w:numPr>
          <w:ilvl w:val="0"/>
          <w:numId w:val="28"/>
        </w:numPr>
        <w:rPr>
          <w:rFonts w:ascii="Arial" w:cs="Arial" w:eastAsia="Arial" w:hAnsi="Arial"/>
          <w:sz w:val="18"/>
          <w:szCs w:val="18"/>
          <w:color w:val="auto"/>
        </w:rPr>
      </w:pPr>
      <w:r>
        <w:rPr>
          <w:rFonts w:ascii="Arial" w:cs="Arial" w:eastAsia="Arial" w:hAnsi="Arial"/>
          <w:sz w:val="20"/>
          <w:szCs w:val="20"/>
          <w:b w:val="1"/>
          <w:bCs w:val="1"/>
          <w:color w:val="auto"/>
        </w:rPr>
        <w:t>Settlement of Units</w:t>
      </w:r>
      <w:r>
        <w:rPr>
          <w:rFonts w:ascii="Arial" w:cs="Arial" w:eastAsia="Arial" w:hAnsi="Arial"/>
          <w:sz w:val="20"/>
          <w:szCs w:val="20"/>
          <w:color w:val="auto"/>
        </w:rPr>
        <w:t>. After any Units vest pursuant to Section 3, the Company shall, as soon as practicable (but no later than two and</w:t>
      </w:r>
      <w:r>
        <w:rPr>
          <w:rFonts w:ascii="Arial" w:cs="Arial" w:eastAsia="Arial" w:hAnsi="Arial"/>
          <w:sz w:val="20"/>
          <w:szCs w:val="20"/>
          <w:b w:val="1"/>
          <w:bCs w:val="1"/>
          <w:color w:val="auto"/>
        </w:rPr>
        <w:t xml:space="preserve"> </w:t>
      </w:r>
      <w:r>
        <w:rPr>
          <w:rFonts w:ascii="Arial" w:cs="Arial" w:eastAsia="Arial" w:hAnsi="Arial"/>
          <w:sz w:val="20"/>
          <w:szCs w:val="20"/>
          <w:color w:val="auto"/>
        </w:rPr>
        <w:t>one-half months after the date on which such Units vest), cause to be issued and delivered to you, or to your designated beneficiary or estate in the event of your death, one</w:t>
      </w:r>
    </w:p>
    <w:p>
      <w:pPr>
        <w:sectPr>
          <w:pgSz w:w="11900" w:h="16838" w:orient="portrait"/>
          <w:cols w:equalWidth="0" w:num="1">
            <w:col w:w="11232"/>
          </w:cols>
          <w:pgMar w:left="328" w:top="140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Share in payment and settlement of each vested Achieved Unit. Delivery of the Shares shall be effected by an appropriate entry in the stock</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register maintained by the Company’s transfer agent with a notice of issuance provided to you, or by the electronic delivery of the Shares to a brokerage account you designate, and shall be subject to the tax withholding provisions of Section 6 and compliance with all applicable legal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requirements, including compliance with the requirements of applicable federal and state securities laws, and shall be in complete satisfaction and settlement of such vested Units.</w:t>
      </w:r>
    </w:p>
    <w:p>
      <w:pPr>
        <w:spacing w:after="0" w:line="177" w:lineRule="exact"/>
        <w:rPr>
          <w:sz w:val="20"/>
          <w:szCs w:val="20"/>
          <w:color w:val="auto"/>
        </w:rPr>
      </w:pPr>
    </w:p>
    <w:p>
      <w:pPr>
        <w:jc w:val="both"/>
        <w:ind w:firstLine="8"/>
        <w:spacing w:after="0" w:line="238" w:lineRule="auto"/>
        <w:tabs>
          <w:tab w:leader="none" w:pos="367" w:val="left"/>
        </w:tabs>
        <w:numPr>
          <w:ilvl w:val="0"/>
          <w:numId w:val="29"/>
        </w:numPr>
        <w:rPr>
          <w:rFonts w:ascii="Arial" w:cs="Arial" w:eastAsia="Arial" w:hAnsi="Arial"/>
          <w:sz w:val="16"/>
          <w:szCs w:val="16"/>
          <w:color w:val="auto"/>
        </w:rPr>
      </w:pPr>
      <w:r>
        <w:rPr>
          <w:rFonts w:ascii="Arial" w:cs="Arial" w:eastAsia="Arial" w:hAnsi="Arial"/>
          <w:sz w:val="18"/>
          <w:szCs w:val="18"/>
          <w:b w:val="1"/>
          <w:bCs w:val="1"/>
          <w:color w:val="auto"/>
        </w:rPr>
        <w:t>Tax Consequences and Withholding</w:t>
      </w:r>
      <w:r>
        <w:rPr>
          <w:rFonts w:ascii="Arial" w:cs="Arial" w:eastAsia="Arial" w:hAnsi="Arial"/>
          <w:sz w:val="18"/>
          <w:szCs w:val="18"/>
          <w:color w:val="auto"/>
        </w:rPr>
        <w:t>. As a condition precedent to the delivery of Shares in settlement of the Achieved Units,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make arrangements acceptable to the Company for payment of any federal, state, local or foreign withholding taxes that may be due as a result of the settlement of vested Achieved Units. The Company will retain a portion of the Shares that would otherwise be delivered to you in settlement of vested Achieved Units, which retained Shares shall have a Fair Market Value equal to the amount required to be withheld, unless you provide notice to the Company prior to the vesting date of the Achieved Units that you desire to pay cash or direct the Company (or any Affiliate) to withhold from payroll or other amounts payable to you any sums required to satisfy such withholding tax obligations, and otherwise agree to satisfy such obligations in accordance with the provisions of Section 15 of the Plan. Delivery of Shares upon the vesting of Achieved Units is subject to the satisfaction of applicable withholding tax obligations.</w:t>
      </w:r>
    </w:p>
    <w:p>
      <w:pPr>
        <w:spacing w:after="0" w:line="193" w:lineRule="exact"/>
        <w:rPr>
          <w:rFonts w:ascii="Arial" w:cs="Arial" w:eastAsia="Arial" w:hAnsi="Arial"/>
          <w:sz w:val="16"/>
          <w:szCs w:val="16"/>
          <w:color w:val="auto"/>
        </w:rPr>
      </w:pPr>
    </w:p>
    <w:p>
      <w:pPr>
        <w:jc w:val="both"/>
        <w:ind w:firstLine="656"/>
        <w:spacing w:after="0" w:line="225" w:lineRule="auto"/>
        <w:tabs>
          <w:tab w:leader="none" w:pos="965" w:val="left"/>
        </w:tabs>
        <w:numPr>
          <w:ilvl w:val="1"/>
          <w:numId w:val="29"/>
        </w:numPr>
        <w:rPr>
          <w:rFonts w:ascii="Arial" w:cs="Arial" w:eastAsia="Arial" w:hAnsi="Arial"/>
          <w:sz w:val="18"/>
          <w:szCs w:val="18"/>
          <w:color w:val="auto"/>
        </w:rPr>
      </w:pPr>
      <w:r>
        <w:rPr>
          <w:rFonts w:ascii="Arial" w:cs="Arial" w:eastAsia="Arial" w:hAnsi="Arial"/>
          <w:sz w:val="20"/>
          <w:szCs w:val="20"/>
          <w:b w:val="1"/>
          <w:bCs w:val="1"/>
          <w:color w:val="auto"/>
        </w:rPr>
        <w:t>No Stockholder Rights</w:t>
      </w:r>
      <w:r>
        <w:rPr>
          <w:rFonts w:ascii="Arial" w:cs="Arial" w:eastAsia="Arial" w:hAnsi="Arial"/>
          <w:sz w:val="20"/>
          <w:szCs w:val="20"/>
          <w:color w:val="auto"/>
        </w:rPr>
        <w:t>. The Units subject to this Award do not entitle you to any rights of a holder of the Company’s Stock. You</w:t>
      </w:r>
      <w:r>
        <w:rPr>
          <w:rFonts w:ascii="Arial" w:cs="Arial" w:eastAsia="Arial" w:hAnsi="Arial"/>
          <w:sz w:val="20"/>
          <w:szCs w:val="20"/>
          <w:b w:val="1"/>
          <w:bCs w:val="1"/>
          <w:color w:val="auto"/>
        </w:rPr>
        <w:t xml:space="preserve"> </w:t>
      </w:r>
      <w:r>
        <w:rPr>
          <w:rFonts w:ascii="Arial" w:cs="Arial" w:eastAsia="Arial" w:hAnsi="Arial"/>
          <w:sz w:val="20"/>
          <w:szCs w:val="20"/>
          <w:color w:val="auto"/>
        </w:rPr>
        <w:t>will not have any of the rights of a stockholder of the Company in connection with the grant of Units subject to this Agreement unless and until Shares are issued to you in settlement of the Units as provided in Section 5.</w:t>
      </w:r>
    </w:p>
    <w:p>
      <w:pPr>
        <w:spacing w:after="0" w:line="190" w:lineRule="exact"/>
        <w:rPr>
          <w:rFonts w:ascii="Arial" w:cs="Arial" w:eastAsia="Arial" w:hAnsi="Arial"/>
          <w:sz w:val="18"/>
          <w:szCs w:val="18"/>
          <w:color w:val="auto"/>
        </w:rPr>
      </w:pPr>
    </w:p>
    <w:p>
      <w:pPr>
        <w:jc w:val="both"/>
        <w:ind w:firstLine="656"/>
        <w:spacing w:after="0" w:line="225" w:lineRule="auto"/>
        <w:tabs>
          <w:tab w:leader="none" w:pos="987" w:val="left"/>
        </w:tabs>
        <w:numPr>
          <w:ilvl w:val="1"/>
          <w:numId w:val="29"/>
        </w:numPr>
        <w:rPr>
          <w:rFonts w:ascii="Arial" w:cs="Arial" w:eastAsia="Arial" w:hAnsi="Arial"/>
          <w:sz w:val="18"/>
          <w:szCs w:val="18"/>
          <w:color w:val="auto"/>
        </w:rPr>
      </w:pPr>
      <w:r>
        <w:rPr>
          <w:rFonts w:ascii="Arial" w:cs="Arial" w:eastAsia="Arial" w:hAnsi="Arial"/>
          <w:sz w:val="20"/>
          <w:szCs w:val="20"/>
          <w:b w:val="1"/>
          <w:bCs w:val="1"/>
          <w:color w:val="auto"/>
        </w:rPr>
        <w:t>Plan Document</w:t>
      </w:r>
      <w:r>
        <w:rPr>
          <w:rFonts w:ascii="Arial" w:cs="Arial" w:eastAsia="Arial" w:hAnsi="Arial"/>
          <w:sz w:val="20"/>
          <w:szCs w:val="20"/>
          <w:color w:val="auto"/>
        </w:rPr>
        <w:t>. This Agreement and the Award are subject to all the provisions of the Plan, and to all interpretations, rules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that may, from time to time, be adopted and promulgated by the Committee pursuant to the Plan. If there is any conflict between the provisions of this Agreement and the Plan, the provisions of the Plan will govern.</w:t>
      </w:r>
    </w:p>
    <w:p>
      <w:pPr>
        <w:spacing w:after="0" w:line="176" w:lineRule="exact"/>
        <w:rPr>
          <w:rFonts w:ascii="Arial" w:cs="Arial" w:eastAsia="Arial" w:hAnsi="Arial"/>
          <w:sz w:val="18"/>
          <w:szCs w:val="18"/>
          <w:color w:val="auto"/>
        </w:rPr>
      </w:pPr>
    </w:p>
    <w:p>
      <w:pPr>
        <w:ind w:firstLine="656"/>
        <w:spacing w:after="0" w:line="239" w:lineRule="auto"/>
        <w:tabs>
          <w:tab w:leader="none" w:pos="1084" w:val="left"/>
        </w:tabs>
        <w:numPr>
          <w:ilvl w:val="1"/>
          <w:numId w:val="29"/>
        </w:numPr>
        <w:rPr>
          <w:rFonts w:ascii="Arial" w:cs="Arial" w:eastAsia="Arial" w:hAnsi="Arial"/>
          <w:sz w:val="18"/>
          <w:szCs w:val="18"/>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This Agreement will be interpreted and enforced under the laws of the state of Minnesota (without to its</w:t>
      </w:r>
      <w:r>
        <w:rPr>
          <w:rFonts w:ascii="Arial" w:cs="Arial" w:eastAsia="Arial" w:hAnsi="Arial"/>
          <w:sz w:val="20"/>
          <w:szCs w:val="20"/>
          <w:b w:val="1"/>
          <w:bCs w:val="1"/>
          <w:color w:val="auto"/>
        </w:rPr>
        <w:t xml:space="preserve"> </w:t>
      </w:r>
      <w:r>
        <w:rPr>
          <w:rFonts w:ascii="Arial" w:cs="Arial" w:eastAsia="Arial" w:hAnsi="Arial"/>
          <w:sz w:val="20"/>
          <w:szCs w:val="20"/>
          <w:color w:val="auto"/>
        </w:rPr>
        <w:t>conflicts or choice of law principles).</w:t>
      </w:r>
    </w:p>
    <w:p>
      <w:pPr>
        <w:spacing w:after="0" w:line="189" w:lineRule="exact"/>
        <w:rPr>
          <w:rFonts w:ascii="Arial" w:cs="Arial" w:eastAsia="Arial" w:hAnsi="Arial"/>
          <w:sz w:val="18"/>
          <w:szCs w:val="18"/>
          <w:color w:val="auto"/>
        </w:rPr>
      </w:pPr>
    </w:p>
    <w:p>
      <w:pPr>
        <w:ind w:firstLine="656"/>
        <w:spacing w:after="0" w:line="232" w:lineRule="auto"/>
        <w:tabs>
          <w:tab w:leader="none" w:pos="1186" w:val="left"/>
        </w:tabs>
        <w:numPr>
          <w:ilvl w:val="1"/>
          <w:numId w:val="29"/>
        </w:numPr>
        <w:rPr>
          <w:rFonts w:ascii="Arial" w:cs="Arial" w:eastAsia="Arial" w:hAnsi="Arial"/>
          <w:sz w:val="18"/>
          <w:szCs w:val="18"/>
          <w:color w:val="auto"/>
        </w:rPr>
      </w:pPr>
      <w:r>
        <w:rPr>
          <w:rFonts w:ascii="Arial" w:cs="Arial" w:eastAsia="Arial" w:hAnsi="Arial"/>
          <w:sz w:val="20"/>
          <w:szCs w:val="20"/>
          <w:b w:val="1"/>
          <w:bCs w:val="1"/>
          <w:color w:val="auto"/>
        </w:rPr>
        <w:t>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89" w:lineRule="exact"/>
        <w:rPr>
          <w:rFonts w:ascii="Arial" w:cs="Arial" w:eastAsia="Arial" w:hAnsi="Arial"/>
          <w:sz w:val="18"/>
          <w:szCs w:val="18"/>
          <w:color w:val="auto"/>
        </w:rPr>
      </w:pPr>
    </w:p>
    <w:p>
      <w:pPr>
        <w:jc w:val="both"/>
        <w:ind w:firstLine="656"/>
        <w:spacing w:after="0" w:line="225" w:lineRule="auto"/>
        <w:tabs>
          <w:tab w:leader="none" w:pos="1051" w:val="left"/>
        </w:tabs>
        <w:numPr>
          <w:ilvl w:val="1"/>
          <w:numId w:val="29"/>
        </w:numPr>
        <w:rPr>
          <w:rFonts w:ascii="Arial" w:cs="Arial" w:eastAsia="Arial" w:hAnsi="Arial"/>
          <w:sz w:val="18"/>
          <w:szCs w:val="18"/>
          <w:color w:val="auto"/>
        </w:rPr>
      </w:pPr>
      <w:r>
        <w:rPr>
          <w:rFonts w:ascii="Arial" w:cs="Arial" w:eastAsia="Arial" w:hAnsi="Arial"/>
          <w:sz w:val="20"/>
          <w:szCs w:val="20"/>
          <w:b w:val="1"/>
          <w:bCs w:val="1"/>
          <w:color w:val="auto"/>
        </w:rPr>
        <w:t>Discontinuance of Employment</w:t>
      </w:r>
      <w:r>
        <w:rPr>
          <w:rFonts w:ascii="Arial" w:cs="Arial" w:eastAsia="Arial" w:hAnsi="Arial"/>
          <w:sz w:val="20"/>
          <w:szCs w:val="20"/>
          <w:color w:val="auto"/>
        </w:rPr>
        <w:t>. This Agreement does not give you a right to continued employment with the Company or any</w:t>
      </w:r>
      <w:r>
        <w:rPr>
          <w:rFonts w:ascii="Arial" w:cs="Arial" w:eastAsia="Arial" w:hAnsi="Arial"/>
          <w:sz w:val="20"/>
          <w:szCs w:val="20"/>
          <w:b w:val="1"/>
          <w:bCs w:val="1"/>
          <w:color w:val="auto"/>
        </w:rPr>
        <w:t xml:space="preserve"> </w:t>
      </w:r>
      <w:r>
        <w:rPr>
          <w:rFonts w:ascii="Arial" w:cs="Arial" w:eastAsia="Arial" w:hAnsi="Arial"/>
          <w:sz w:val="20"/>
          <w:szCs w:val="20"/>
          <w:color w:val="auto"/>
        </w:rPr>
        <w:t>of its Affiliates, and the Company or any such Affiliate may terminate your employment at any time and otherwise deal with you without regard to the effect it may have upon you under this Agreement.</w:t>
      </w:r>
    </w:p>
    <w:p>
      <w:pPr>
        <w:spacing w:after="0" w:line="190" w:lineRule="exact"/>
        <w:rPr>
          <w:rFonts w:ascii="Arial" w:cs="Arial" w:eastAsia="Arial" w:hAnsi="Arial"/>
          <w:sz w:val="18"/>
          <w:szCs w:val="18"/>
          <w:color w:val="auto"/>
        </w:rPr>
      </w:pPr>
    </w:p>
    <w:p>
      <w:pPr>
        <w:ind w:firstLine="656"/>
        <w:spacing w:after="0" w:line="292" w:lineRule="auto"/>
        <w:tabs>
          <w:tab w:leader="none" w:pos="1143" w:val="left"/>
        </w:tabs>
        <w:numPr>
          <w:ilvl w:val="1"/>
          <w:numId w:val="29"/>
        </w:numPr>
        <w:rPr>
          <w:rFonts w:ascii="Arial" w:cs="Arial" w:eastAsia="Arial" w:hAnsi="Arial"/>
          <w:sz w:val="16"/>
          <w:szCs w:val="16"/>
          <w:color w:val="auto"/>
        </w:rPr>
      </w:pPr>
      <w:r>
        <w:rPr>
          <w:rFonts w:ascii="Arial" w:cs="Arial" w:eastAsia="Arial" w:hAnsi="Arial"/>
          <w:sz w:val="18"/>
          <w:szCs w:val="18"/>
          <w:b w:val="1"/>
          <w:bCs w:val="1"/>
          <w:color w:val="auto"/>
        </w:rPr>
        <w:t>Section 409A of the Code</w:t>
      </w:r>
      <w:r>
        <w:rPr>
          <w:rFonts w:ascii="Arial" w:cs="Arial" w:eastAsia="Arial" w:hAnsi="Arial"/>
          <w:sz w:val="18"/>
          <w:szCs w:val="18"/>
          <w:color w:val="auto"/>
        </w:rPr>
        <w:t>. The award of Units as provided in this Agreement and any issuance of Shares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intended to be exempt from Section 409A of the Code under the short-term deferral specified in Treas. Reg. § 1.409A-l(b)(4).</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20"/>
          <w:szCs w:val="20"/>
          <w:b w:val="1"/>
          <w:bCs w:val="1"/>
          <w:i w:val="1"/>
          <w:iCs w:val="1"/>
          <w:color w:val="auto"/>
        </w:rPr>
        <w:t>By signing the cover page of this Agreement or otherwise accepting this Award in a manner approved by the Company, you agree to all the terms and conditions contained in this Agreement and in the Plan document.</w:t>
      </w:r>
    </w:p>
    <w:p>
      <w:pPr>
        <w:sectPr>
          <w:pgSz w:w="11900" w:h="16838" w:orient="portrait"/>
          <w:cols w:equalWidth="0" w:num="1">
            <w:col w:w="11240"/>
          </w:cols>
          <w:pgMar w:left="320" w:top="140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No. 31(a)</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Digi International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100" w:firstLine="8"/>
        <w:spacing w:after="0" w:line="263" w:lineRule="auto"/>
        <w:tabs>
          <w:tab w:leader="none" w:pos="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80" w:firstLine="8"/>
        <w:spacing w:after="0" w:line="263"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20" w:firstLine="8"/>
        <w:spacing w:after="0" w:line="308" w:lineRule="auto"/>
        <w:tabs>
          <w:tab w:leader="none" w:pos="17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040" w:val="left"/>
        </w:tabs>
        <w:rPr>
          <w:sz w:val="20"/>
          <w:szCs w:val="20"/>
          <w:color w:val="auto"/>
        </w:rPr>
      </w:pPr>
      <w:r>
        <w:rPr>
          <w:rFonts w:ascii="Arial" w:cs="Arial" w:eastAsia="Arial" w:hAnsi="Arial"/>
          <w:sz w:val="18"/>
          <w:szCs w:val="18"/>
          <w:color w:val="auto"/>
        </w:rPr>
        <w:t>August 4, 2023</w:t>
      </w:r>
      <w:r>
        <w:rPr>
          <w:sz w:val="20"/>
          <w:szCs w:val="20"/>
          <w:color w:val="auto"/>
        </w:rPr>
        <w:tab/>
      </w:r>
      <w:r>
        <w:rPr>
          <w:rFonts w:ascii="Arial" w:cs="Arial" w:eastAsia="Arial" w:hAnsi="Arial"/>
          <w:sz w:val="16"/>
          <w:szCs w:val="16"/>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Ronald E. Konezny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No. 31(b)</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Digi International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100" w:firstLine="8"/>
        <w:spacing w:after="0" w:line="263" w:lineRule="auto"/>
        <w:tabs>
          <w:tab w:leader="none" w:pos="1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80" w:firstLine="8"/>
        <w:spacing w:after="0" w:line="263"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20" w:firstLine="8"/>
        <w:spacing w:after="0" w:line="308" w:lineRule="auto"/>
        <w:tabs>
          <w:tab w:leader="none" w:pos="17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040" w:val="left"/>
        </w:tabs>
        <w:rPr>
          <w:sz w:val="20"/>
          <w:szCs w:val="20"/>
          <w:color w:val="auto"/>
        </w:rPr>
      </w:pPr>
      <w:r>
        <w:rPr>
          <w:rFonts w:ascii="Arial" w:cs="Arial" w:eastAsia="Arial" w:hAnsi="Arial"/>
          <w:sz w:val="18"/>
          <w:szCs w:val="18"/>
          <w:color w:val="auto"/>
        </w:rPr>
        <w:t>August 4, 2023</w:t>
      </w:r>
      <w:r>
        <w:rPr>
          <w:sz w:val="20"/>
          <w:szCs w:val="20"/>
          <w:color w:val="auto"/>
        </w:rPr>
        <w:tab/>
      </w:r>
      <w:r>
        <w:rPr>
          <w:rFonts w:ascii="Arial" w:cs="Arial" w:eastAsia="Arial" w:hAnsi="Arial"/>
          <w:sz w:val="15"/>
          <w:szCs w:val="15"/>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23495</wp:posOffset>
            </wp:positionV>
            <wp:extent cx="36518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J. Loch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Digi International Inc. (the Registrant) on Form 10-Q for the fiscal quarter ended June 30, 2023 as filed with the Securities and Exchange Commission on the date hereof, each of the undersigned certifies, pursuant to 18 U.S.C. §1350, as adopted pursuant to §906 of the Sarbanes-Oxley Act of 2002, that:</w:t>
      </w:r>
    </w:p>
    <w:p>
      <w:pPr>
        <w:spacing w:after="0" w:line="211"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76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4, 2023</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22860</wp:posOffset>
            </wp:positionV>
            <wp:extent cx="36518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Ronald E. Konezny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pacing w:after="0" w:line="2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J. Loch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6"/>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04"/>
    </w:lvl>
  </w:abstractNum>
  <w:abstractNum w:abstractNumId="22">
    <w:nsid w:val="1E7FF521"/>
    <w:multiLevelType w:val="hybridMultilevel"/>
    <w:lvl w:ilvl="0">
      <w:lvlJc w:val="left"/>
      <w:lvlText w:val="*"/>
      <w:numFmt w:val="bullet"/>
      <w:start w:val="1"/>
    </w:lvl>
    <w:lvl w:ilvl="1">
      <w:lvlJc w:val="left"/>
      <w:lvlText w:val="(%2)"/>
      <w:numFmt w:val="decimal"/>
      <w:start w:val="1"/>
    </w:lvl>
  </w:abstractNum>
  <w:abstractNum w:abstractNumId="23">
    <w:nsid w:val="7C3DBD3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4">
    <w:nsid w:val="737B8D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25">
    <w:nsid w:val="6CEAF087"/>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6">
    <w:nsid w:val="22221A70"/>
    <w:multiLevelType w:val="hybridMultilevel"/>
    <w:lvl w:ilvl="0">
      <w:lvlJc w:val="left"/>
      <w:lvlText w:val="(%1)"/>
      <w:numFmt w:val="lowerLetter"/>
      <w:start w:val="5"/>
    </w:lvl>
  </w:abstractNum>
  <w:abstractNum w:abstractNumId="27">
    <w:nsid w:val="4516DDE9"/>
    <w:multiLevelType w:val="hybridMultilevel"/>
    <w:lvl w:ilvl="0">
      <w:lvlJc w:val="left"/>
      <w:lvlText w:val="%1."/>
      <w:numFmt w:val="decimal"/>
      <w:start w:val="4"/>
    </w:lvl>
  </w:abstractNum>
  <w:abstractNum w:abstractNumId="28">
    <w:nsid w:val="3006C83E"/>
    <w:multiLevelType w:val="hybridMultilevel"/>
    <w:lvl w:ilvl="0">
      <w:lvlJc w:val="left"/>
      <w:lvlText w:val="%1."/>
      <w:numFmt w:val="decimal"/>
      <w:start w:val="6"/>
    </w:lvl>
    <w:lvl w:ilvl="1">
      <w:lvlJc w:val="left"/>
      <w:lvlText w:val="%2."/>
      <w:numFmt w:val="decimal"/>
      <w:start w:val="7"/>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18" Type="http://schemas.openxmlformats.org/officeDocument/2006/relationships/hyperlink" Target="https://www.sec.gov/ix?doc=/Archives/edgar/data/854775/000085477522000028/dgii-20220930.htm" TargetMode="External"/><Relationship Id="rId61" Type="http://schemas.openxmlformats.org/officeDocument/2006/relationships/hyperlink" Target="http://www.sec.gov/Archives/edgar/data/854775/000110465920054438/tm2018116d1_ex3-1.htm" TargetMode="External"/><Relationship Id="rId62" Type="http://schemas.openxmlformats.org/officeDocument/2006/relationships/hyperlink" Target="http://www.sec.gov/Archives/edgar/data/854775/000110465923069919/tm231817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2023-08-04T12:15:42Z</dcterms:created>
  <dcterms:modified xsi:type="dcterms:W3CDTF">2023-08-04T12:15:42Z</dcterms:modified>
</cp:coreProperties>
</file>