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16062d1_sd.htm"/>
      <w:bookmarkStart w:id="1" w:name="kstm2616062d1_sd"/>
      <w:bookmarkEnd w:id="0"/>
      <w:bookmarkEnd w:id="1"/>
      <w:r>
        <w:rPr>
          <w:caps w:val="false"/>
          <w:smallCaps w:val="false"/>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Specialized Disclosure Report</w:t>
      </w:r>
    </w:p>
    <w:p>
      <w:pPr>
        <w:pStyle w:val="TextBody"/>
        <w:bidi w:val="0"/>
        <w:spacing w:before="0" w:after="0"/>
        <w:ind w:left="0" w:right="0" w:hanging="0"/>
        <w:jc w:val="left"/>
        <w:rPr>
          <w:caps w:val="false"/>
          <w:smallCaps w:val="false"/>
        </w:rPr>
      </w:pPr>
      <w:r>
        <w:rPr>
          <w:caps w:val="false"/>
          <w:smallCaps w:val="false"/>
        </w:rPr>
        <w:t> </w:t>
      </w:r>
    </w:p>
    <w:tbl>
      <w:tblPr>
        <w:tblW w:w="4355" w:type="dxa"/>
        <w:jc w:val="center"/>
        <w:tblInd w:w="0" w:type="dxa"/>
        <w:tblLayout w:type="fixed"/>
        <w:tblCellMar>
          <w:top w:w="0" w:type="dxa"/>
          <w:left w:w="0" w:type="dxa"/>
          <w:bottom w:w="28" w:type="dxa"/>
          <w:right w:w="0" w:type="dxa"/>
        </w:tblCellMar>
      </w:tblPr>
      <w:tblGrid>
        <w:gridCol w:w="4355"/>
      </w:tblGrid>
      <w:tr>
        <w:trPr/>
        <w:tc>
          <w:tcPr>
            <w:tcW w:w="43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r>
              <w:rPr>
                <w:rFonts w:ascii="Times New Roman;Times;Serif" w:hAnsi="Times New Roman;Times;Serif"/>
                <w:b/>
                <w:sz w:val="28"/>
              </w:rPr>
              <w:t>Digi International Inc.</w:t>
            </w:r>
          </w:p>
        </w:tc>
      </w:tr>
      <w:tr>
        <w:trPr/>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215"/>
        <w:gridCol w:w="60"/>
        <w:gridCol w:w="2135"/>
        <w:gridCol w:w="60"/>
        <w:gridCol w:w="2915"/>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135" w:type="dxa"/>
            <w:tcBorders>
              <w:bottom w:val="single" w:sz="8" w:space="0" w:color="000000"/>
            </w:tcBorders>
            <w:vAlign w:val="center"/>
          </w:tcPr>
          <w:p>
            <w:pPr>
              <w:pStyle w:val="TableContents"/>
              <w:bidi w:val="0"/>
              <w:spacing w:before="0" w:after="283"/>
              <w:jc w:val="center"/>
              <w:rPr>
                <w:b/>
                <w:sz w:val="20"/>
              </w:rPr>
            </w:pPr>
            <w:r>
              <w:rPr>
                <w:b/>
                <w:sz w:val="20"/>
              </w:rPr>
              <w:t>1-34033</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8" w:space="0" w:color="000000"/>
            </w:tcBorders>
            <w:vAlign w:val="center"/>
          </w:tcPr>
          <w:p>
            <w:pPr>
              <w:pStyle w:val="TableContents"/>
              <w:bidi w:val="0"/>
              <w:spacing w:before="0" w:after="283"/>
              <w:jc w:val="center"/>
              <w:rPr>
                <w:b/>
                <w:sz w:val="20"/>
              </w:rPr>
            </w:pPr>
            <w:r>
              <w:rPr>
                <w:b/>
                <w:sz w:val="20"/>
              </w:rPr>
              <w:t>41-1532464</w:t>
            </w:r>
          </w:p>
        </w:tc>
      </w:tr>
      <w:tr>
        <w:trPr/>
        <w:tc>
          <w:tcPr>
            <w:tcW w:w="3215"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13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center"/>
              <w:rPr>
                <w:sz w:val="20"/>
              </w:rPr>
            </w:pPr>
            <w:r>
              <w:rPr>
                <w:sz w:val="20"/>
              </w:rPr>
              <w:t>(I.R.S. Employer Identification No.)</w:t>
            </w:r>
          </w:p>
        </w:tc>
      </w:tr>
      <w:tr>
        <w:trPr/>
        <w:tc>
          <w:tcPr>
            <w:tcW w:w="3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center"/>
              <w:rPr/>
            </w:pPr>
            <w:r>
              <w:rPr/>
              <w:t> </w:t>
            </w:r>
          </w:p>
        </w:tc>
      </w:tr>
      <w:tr>
        <w:trPr/>
        <w:tc>
          <w:tcPr>
            <w:tcW w:w="3215" w:type="dxa"/>
            <w:tcBorders/>
            <w:tcMar>
              <w:bottom w:w="0" w:type="dxa"/>
            </w:tcMar>
            <w:vAlign w:val="center"/>
          </w:tcPr>
          <w:p>
            <w:pPr>
              <w:pStyle w:val="TableContents"/>
              <w:bidi w:val="0"/>
              <w:spacing w:before="0" w:after="283"/>
              <w:jc w:val="center"/>
              <w:rPr>
                <w:b/>
                <w:sz w:val="20"/>
              </w:rPr>
            </w:pPr>
            <w:r>
              <w:rPr>
                <w:b/>
                <w:sz w:val="20"/>
              </w:rPr>
              <w:t>9350 Excelsior Blvd., Suite 700</w:t>
            </w:r>
          </w:p>
        </w:tc>
        <w:tc>
          <w:tcPr>
            <w:tcW w:w="60" w:type="dxa"/>
            <w:tcBorders/>
            <w:tcMar>
              <w:bottom w:w="0" w:type="dxa"/>
            </w:tcMar>
            <w:vAlign w:val="center"/>
          </w:tcPr>
          <w:p>
            <w:pPr>
              <w:pStyle w:val="TableContents"/>
              <w:bidi w:val="0"/>
              <w:spacing w:before="0" w:after="283"/>
              <w:jc w:val="left"/>
              <w:rPr/>
            </w:pPr>
            <w:r>
              <w:rPr/>
              <w:t> </w:t>
            </w:r>
          </w:p>
        </w:tc>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3215" w:type="dxa"/>
            <w:tcBorders>
              <w:bottom w:val="single" w:sz="8" w:space="0" w:color="000000"/>
            </w:tcBorders>
            <w:vAlign w:val="center"/>
          </w:tcPr>
          <w:p>
            <w:pPr>
              <w:pStyle w:val="TableContents"/>
              <w:bidi w:val="0"/>
              <w:spacing w:before="0" w:after="283"/>
              <w:jc w:val="center"/>
              <w:rPr>
                <w:b/>
                <w:sz w:val="20"/>
              </w:rPr>
            </w:pPr>
            <w:r>
              <w:rPr>
                <w:b/>
                <w:sz w:val="20"/>
              </w:rPr>
              <w:t>Hopkins, Minnesota</w:t>
            </w:r>
          </w:p>
        </w:tc>
        <w:tc>
          <w:tcPr>
            <w:tcW w:w="60" w:type="dxa"/>
            <w:tcBorders/>
            <w:tcMar>
              <w:bottom w:w="0" w:type="dxa"/>
            </w:tcMar>
            <w:vAlign w:val="center"/>
          </w:tcPr>
          <w:p>
            <w:pPr>
              <w:pStyle w:val="TableContents"/>
              <w:bidi w:val="0"/>
              <w:spacing w:before="0" w:after="283"/>
              <w:jc w:val="left"/>
              <w:rPr/>
            </w:pPr>
            <w:r>
              <w:rPr/>
              <w:t> </w:t>
            </w:r>
          </w:p>
        </w:tc>
        <w:tc>
          <w:tcPr>
            <w:tcW w:w="2135" w:type="dxa"/>
            <w:tcBorders>
              <w:bottom w:val="single" w:sz="8" w:space="0" w:color="000000"/>
            </w:tcBorders>
            <w:vAlign w:val="center"/>
          </w:tcPr>
          <w:p>
            <w:pPr>
              <w:pStyle w:val="TableContents"/>
              <w:bidi w:val="0"/>
              <w:spacing w:before="0" w:after="283"/>
              <w:jc w:val="center"/>
              <w:rPr>
                <w:b/>
                <w:sz w:val="20"/>
              </w:rPr>
            </w:pPr>
            <w:r>
              <w:rPr>
                <w:b/>
                <w:sz w:val="20"/>
              </w:rPr>
              <w:t>55343</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center"/>
              <w:rPr/>
            </w:pPr>
            <w:r>
              <w:rPr/>
              <w:t> </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1440" w:right="0" w:hanging="0"/>
        <w:jc w:val="left"/>
        <w:rPr>
          <w:caps w:val="false"/>
          <w:smallCaps w:val="false"/>
        </w:rPr>
      </w:pPr>
      <w:r>
        <w:rPr>
          <w:caps w:val="false"/>
          <w:smallCaps w:val="false"/>
        </w:rPr>
        <w:t> </w:t>
      </w:r>
    </w:p>
    <w:tbl>
      <w:tblPr>
        <w:tblW w:w="4505" w:type="dxa"/>
        <w:jc w:val="center"/>
        <w:tblInd w:w="0" w:type="dxa"/>
        <w:tblLayout w:type="fixed"/>
        <w:tblCellMar>
          <w:top w:w="0" w:type="dxa"/>
          <w:left w:w="0" w:type="dxa"/>
          <w:bottom w:w="28" w:type="dxa"/>
          <w:right w:w="0" w:type="dxa"/>
        </w:tblCellMar>
      </w:tblPr>
      <w:tblGrid>
        <w:gridCol w:w="4505"/>
      </w:tblGrid>
      <w:tr>
        <w:trPr/>
        <w:tc>
          <w:tcPr>
            <w:tcW w:w="45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David H. Sampsell</w:t>
              <w:br/>
              <w:t xml:space="preserve">Executive Vice President, Corporate Development, </w:t>
              <w:br/>
              <w:t>General Counsel &amp; Corporate Secretary</w:t>
              <w:br/>
              <w:t>952-912-3444</w:t>
            </w:r>
          </w:p>
        </w:tc>
      </w:tr>
      <w:tr>
        <w:trPr/>
        <w:tc>
          <w:tcPr>
            <w:tcW w:w="45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(Name and telephone number, including area code, </w:t>
              <w:br/>
              <w:t>of the person to contact in connection with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indicate the rule pursuant to which this form is being filed: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Rule 13p-1 under the Securities Exchange Act (17 CFR 240.13p-1) for the reporting period from January 1 to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pPr>
            <w:r>
              <w:rPr/>
              <w:t>Rule 13q-1 under the Securities Exchange Act (17 CFR 240.13q-1) for the fiscal year ended 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TO BE INCLUDED IN THE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 Conflict Minerals Disclosure</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830"/>
        <w:gridCol w:w="34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Conflict Minerals Disclosure and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Minerals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 International Inc. (the “Company,” “we,” “us,” “our”) has filed a Conflict Minerals Report for the reporting period from January 1, 2025 to December 31, 2025 (the “2025 Conflict Minerals Report”), which is referenced in Item 1.02 below, filed as an exhibit to this Form SD and also publicly available on our website at www.digi.com under “Investor Relations” and “SEC Filings.”</w:t>
      </w:r>
    </w:p>
    <w:p>
      <w:pPr>
        <w:pStyle w:val="TextBody"/>
        <w:bidi w:val="0"/>
        <w:spacing w:before="0" w:after="0"/>
        <w:ind w:left="0" w:right="0" w:hanging="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830"/>
        <w:gridCol w:w="71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1.02</w:t>
            </w:r>
          </w:p>
        </w:tc>
        <w:tc>
          <w:tcPr>
            <w:tcW w:w="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Company’s 2025 Conflict Minerals Report is filed as Exhibit 1.01 attached to this 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 Resource Extraction Issuer Disclosure</w:t>
      </w:r>
    </w:p>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830"/>
        <w:gridCol w:w="42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2.01</w:t>
            </w:r>
          </w:p>
        </w:tc>
        <w:tc>
          <w:tcPr>
            <w:tcW w:w="4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Resource Extraction Issuer Disclosure and Report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 Exhibits</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830"/>
        <w:gridCol w:w="78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3.01</w:t>
            </w:r>
          </w:p>
        </w:tc>
        <w:tc>
          <w:tcPr>
            <w:tcW w:w="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tbl>
      <w:tblPr>
        <w:tblW w:w="9855" w:type="dxa"/>
        <w:jc w:val="left"/>
        <w:tblInd w:w="0" w:type="dxa"/>
        <w:tblLayout w:type="fixed"/>
        <w:tblCellMar>
          <w:top w:w="0" w:type="dxa"/>
          <w:left w:w="0" w:type="dxa"/>
          <w:bottom w:w="28" w:type="dxa"/>
          <w:right w:w="0" w:type="dxa"/>
        </w:tblCellMar>
      </w:tblPr>
      <w:tblGrid>
        <w:gridCol w:w="725"/>
        <w:gridCol w:w="60"/>
        <w:gridCol w:w="7355"/>
        <w:gridCol w:w="60"/>
        <w:gridCol w:w="1655"/>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73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Document Description</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 of Filing</w:t>
            </w:r>
          </w:p>
        </w:tc>
      </w:tr>
      <w:tr>
        <w:trPr/>
        <w:tc>
          <w:tcPr>
            <w:tcW w:w="725" w:type="dxa"/>
            <w:tcBorders/>
            <w:tcMar>
              <w:bottom w:w="0" w:type="dxa"/>
            </w:tcMar>
            <w:vAlign w:val="center"/>
          </w:tcPr>
          <w:p>
            <w:pPr>
              <w:pStyle w:val="TableContents"/>
              <w:bidi w:val="0"/>
              <w:spacing w:before="0" w:after="283"/>
              <w:jc w:val="center"/>
              <w:rPr/>
            </w:pPr>
            <w:hyperlink w:anchor="tm2616062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7355" w:type="dxa"/>
            <w:tcBorders/>
            <w:tcMar>
              <w:bottom w:w="0" w:type="dxa"/>
            </w:tcMar>
            <w:vAlign w:val="center"/>
          </w:tcPr>
          <w:p>
            <w:pPr>
              <w:pStyle w:val="TableContents"/>
              <w:bidi w:val="0"/>
              <w:spacing w:before="0" w:after="283"/>
              <w:jc w:val="left"/>
              <w:rPr/>
            </w:pPr>
            <w:hyperlink w:anchor="tm2616062d1_ex1-01.htm">
              <w:r>
                <w:rPr>
                  <w:rStyle w:val="InternetLink"/>
                </w:rPr>
                <w:t>Conflict Minerals Report as required by Items 1.01 and 1.02 of this Form SD.</w:t>
              </w:r>
            </w:hyperlink>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hyperlink w:anchor="tm2616062d1_ex1-01.htm">
              <w:r>
                <w:rPr>
                  <w:rStyle w:val="InternetLink"/>
                  <w:rFonts w:ascii="Times New Roman;Times;Serif" w:hAnsi="Times New Roman;Times;Serif"/>
                  <w:sz w:val="20"/>
                </w:rPr>
                <w:t>Filed Electronically</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caps w:val="false"/>
          <w:smallCaps w:val="false"/>
        </w:rPr>
      </w:pPr>
      <w:r>
        <w:rPr>
          <w:caps w:val="false"/>
          <w:smallCaps w:val="false"/>
        </w:rPr>
        <w:t> </w:t>
      </w:r>
    </w:p>
    <w:tbl>
      <w:tblPr>
        <w:tblW w:w="8970" w:type="dxa"/>
        <w:jc w:val="left"/>
        <w:tblInd w:w="0" w:type="dxa"/>
        <w:tblLayout w:type="fixed"/>
        <w:tblCellMar>
          <w:top w:w="0" w:type="dxa"/>
          <w:left w:w="0" w:type="dxa"/>
          <w:bottom w:w="0" w:type="dxa"/>
          <w:right w:w="0" w:type="dxa"/>
        </w:tblCellMar>
      </w:tblPr>
      <w:tblGrid>
        <w:gridCol w:w="275"/>
        <w:gridCol w:w="7385"/>
        <w:gridCol w:w="60"/>
        <w:gridCol w:w="1250"/>
      </w:tblGrid>
      <w:tr>
        <w:trPr/>
        <w:tc>
          <w:tcPr>
            <w:tcW w:w="8970"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 INTERNATIONAL INC.</w:t>
            </w:r>
          </w:p>
        </w:tc>
      </w:tr>
      <w:tr>
        <w:trPr/>
        <w:tc>
          <w:tcPr>
            <w:tcW w:w="27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 </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385" w:type="dxa"/>
            <w:tcBorders>
              <w:bottom w:val="single" w:sz="8" w:space="0" w:color="000000"/>
            </w:tcBorders>
            <w:tcMar>
              <w:bottom w:w="28" w:type="dxa"/>
            </w:tcMar>
            <w:vAlign w:val="center"/>
          </w:tcPr>
          <w:p>
            <w:pPr>
              <w:pStyle w:val="TableContents"/>
              <w:bidi w:val="0"/>
              <w:spacing w:before="0" w:after="283"/>
              <w:jc w:val="left"/>
              <w:rPr/>
            </w:pPr>
            <w:r>
              <w:rPr/>
              <w:t>/s/ David H. Sampsell</w:t>
            </w:r>
          </w:p>
        </w:tc>
        <w:tc>
          <w:tcPr>
            <w:tcW w:w="60" w:type="dxa"/>
            <w:tcBorders/>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center"/>
              <w:rPr/>
            </w:pPr>
            <w:r>
              <w:rPr/>
              <w:t>June 1, 2026</w:t>
            </w:r>
          </w:p>
        </w:tc>
      </w:tr>
      <w:tr>
        <w:trPr/>
        <w:tc>
          <w:tcPr>
            <w:tcW w:w="27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H. Sampsell</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275"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Corporate Development, General Counsel &amp; Corporate Secretary</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tm2616062d1_ex1-01.htm"/>
      <w:bookmarkStart w:id="3" w:name="kstm2616062d1_ex10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Conflict Minerals Report </w:t>
      </w:r>
    </w:p>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155"/>
        <w:gridCol w:w="1145"/>
      </w:tblGrid>
      <w:tr>
        <w:trPr/>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Introduction </w:t>
            </w:r>
          </w:p>
        </w:tc>
      </w:tr>
    </w:tbl>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Conflict Minerals Report (this “Report”) of Digi International Inc. (“Company,” “we,” “us” or “our”) has been prepared pursuant to Rule 13p-1 and Form SD (the “Rule”) promulgated under the Securities Exchange Act of 1934, as amended, for the reporting period from January 1, 2025 to December 31, 2025.</w:t>
      </w:r>
    </w:p>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 requires disclosure of certain information when a company manufactures or contracts to manufacture products that contain the minerals specified in the Rule, which are necessary to the functionality or production of those products. The specified minerals, which we refer to in this report as the “conflict minerals,” are gold, columbite-tantalite (coltan), cassiterite and wolframite, or their derivatives, which are limited to tantalum, tin and tungsten. The “covered countries” for the purposes of the Rule and this Report are the Democratic Republic of the Congo (the “DRC”), the Republic of the Congo, the Central African Republic, South Sudan, Uganda, Rwanda, Burundi, Tanzania, Zambia and Angola.</w:t>
      </w:r>
    </w:p>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provider of machine-to-machine networking hardware and solutions that enable the connection, monitoring and control of local or remote physical assets by electronic means. These networking products and solutions can connect communication hardware to a physical asset, convey information about the asset’s status and performance to a computer system and then use that information to improve or automate one or more processes. As described in this Report, certain of the products we manufacture or contract to manufacture contain components that include conflict minerals that are necessary to the functionality or production of those products. In this Report, we refer to such products which were manufactured during calendar year 2025 as the “covered products.” The covered products are hardware products that generally include: embedded modules, gateways, adapter cards and device and terminal servers. Neither the software nor the services we sold to customers during calendar year 2025 are considered covered products as these products contain no conflict minerals.</w:t>
      </w:r>
    </w:p>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products contain components we purchased from third parties that use tin, tantalum, tungsten and/or gold. We do not source these conflict minerals directly. Due to the depth of our supply chain, we are far removed from the sources from which these conflict minerals are produced and the smelters or refiners that process them. Our efforts undertaken to identify the countries of origin of those conflict minerals reflect our circumstances and position in the supply chain. The amount of information available globally on the traceability and sourcing of the conflict minerals is extremely limited at this time. We have taken steps to identify the applicable smelters or refiners of such conflict minerals in our supply chain; however, we believe that the smelters and refiners of the conflict minerals contained in the covered products are best situated to identify the sources of the conflict minerals.</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230"/>
        <w:gridCol w:w="3320"/>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3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Reasonable Country of Origin Inquiry </w:t>
            </w:r>
          </w:p>
        </w:tc>
      </w:tr>
    </w:tbl>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conducted a country of origin inquiry (“RCOI”) regarding the conflict minerals that may be contained in our products. This inquiry was reasonably designed and conducted in good faith to determine whether any of the conflict minerals originated in the covered countries and whether any of the conflict minerals may have been from recycled or scrap sources.</w:t>
      </w:r>
    </w:p>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group components and materials included in our products based on whether they might contain a conflict mineral. In this manner, we determined the scope of our covered products. We asked direct suppliers who provide us with materials and components for our covered products that might contain a conflict mineral to make a reasonable determination if raw materials, consumables or purchased components they provide to us contain conflict minerals. Where appropriate, we also asked direct suppliers to make similar inquiries among their direct suppliers to further inform their responses to our request. We asked these suppliers to complete a supply chain compliance questionnaire based on the Conflict Minerals Reporting Template developed by the Responsible Minerals Initiative (“RMI”) reflecting our position on the supply chain.</w:t>
      </w:r>
    </w:p>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received statements or responses from 67% of the direct suppliers who supply us with materials or components that we believe may contain conflict minerals, which represents greater than 90% of our supply chain spend during the applicable calendar year. We reviewed the statements and responses we received for completeness and consistency of answers and, as appropriate, asked certain suppliers to provide corrections and clarifications.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05"/>
        <w:gridCol w:w="4445"/>
      </w:tblGrid>
      <w:tr>
        <w:trPr/>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III.</w:t>
            </w:r>
          </w:p>
        </w:tc>
        <w:tc>
          <w:tcPr>
            <w:tcW w:w="4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Design and Performance of Due Diligence Measures </w:t>
            </w:r>
          </w:p>
        </w:tc>
      </w:tr>
    </w:tbl>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due diligence measures have been designed to conform in all material respects to the five-step framework in the Organization for Economic Co-Operation and Development Due Diligence Guidance for Responsible Supply Chain of Minerals from Conflict-Affected and High-Risk Areas (the “OECD Guidance”).</w:t>
      </w:r>
    </w:p>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address the first step of the OECD Guidance, we have established strong company management systems by adopting a policy relating to conflict minerals that incorporates the OECD Guidance. The policy is found on our website at the following url: </w:t>
      </w:r>
      <w:r>
        <w:rPr>
          <w:rFonts w:ascii="Times New Roman;Times;Serif" w:hAnsi="Times New Roman;Times;Serif"/>
          <w:b w:val="false"/>
          <w:i w:val="false"/>
          <w:caps w:val="false"/>
          <w:smallCaps w:val="false"/>
          <w:sz w:val="20"/>
          <w:u w:val="single"/>
        </w:rPr>
        <w:t>https://www.digi.com/company/environment/conflict-minerals</w:t>
      </w:r>
      <w:r>
        <w:rPr>
          <w:rFonts w:ascii="Times New Roman;Times;Serif" w:hAnsi="Times New Roman;Times;Serif"/>
          <w:b w:val="false"/>
          <w:i w:val="false"/>
          <w:caps w:val="false"/>
          <w:smallCaps w:val="false"/>
          <w:sz w:val="20"/>
        </w:rPr>
        <w:t>. This policy has also been communicated directly to our direct suppliers.</w:t>
      </w:r>
    </w:p>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advanced the second step of the OECD Guidance related to identifying risks in our supply chain by analyzing the responses from our suppliers. Certain responses from our direct suppliers pursuant to the RCOI process described above contained names of smelters and refiners who processed conflict minerals contained in our products. We reviewed the locations of these smelters and refiners in light of the covered countries and compared them against the conflict-free compliant smelters and refiners list of the RMI.</w:t>
      </w:r>
    </w:p>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due diligence were reviewed with members of our senior management team and summarized for our Board of Directors to enable us to design a strategy to robustly respond to risks in our supply chain.</w:t>
      </w:r>
    </w:p>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also publicly available on our website at the address identified above to meet the final step of the OECD Guidance to report annually on our supply chain due diligence.</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90"/>
        <w:gridCol w:w="203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IV.</w:t>
            </w:r>
          </w:p>
        </w:tc>
        <w:tc>
          <w:tcPr>
            <w:tcW w:w="20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Product Determination </w:t>
            </w:r>
          </w:p>
        </w:tc>
      </w:tr>
    </w:tbl>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Many of our hardware products contain materials or components that include one or more of the conflict minerals. Notwithstanding our efforts described above, we have been unable to determine, after exercising due diligence, whether all of the conflict minerals in our hardware products are DRC conflict-free. We are therefore not able to determine whether these products originated in the covered countries and whether all of the conflict minerals in our hardware products may have been from recycled or scrap sources. We received no information from our direct suppliers indicating that the tin, tantalum, tungsten or gold in our products originated in the covered countries, and we have also been unable to confirm the sourcing status of these minerals for each of the smelters and refiners listed below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612"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15"/>
        <w:gridCol w:w="177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Product Description </w:t>
            </w:r>
          </w:p>
        </w:tc>
      </w:tr>
    </w:tbl>
    <w:p>
      <w:pPr>
        <w:pStyle w:val="TextBody"/>
        <w:bidi w:val="0"/>
        <w:spacing w:before="0" w:after="0"/>
        <w:ind w:left="619"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suppliers also provided us with the names of approximately 523 smelters and refiners, along with the smelter or refiner facility location, that our direct suppliers have identified as processing the necessary conflict minerals in our hardware products. These smelters and refiners are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Of these smelters and refiners, 219 were identified as “compliant conformant” and 9 were reported to be “active” in the process of conforming to the assessment protocols of the Responsible Minerals Assurance Process (“RMAP”) as of May 26, 2026. The remaining smelters or refiners were not defined as either conformant or active by the RMI as of the same date. While our suppliers identified smelters or refiners they have utilized in the production of components on company-wide basis, in many cases they were unable to confirm whether any particular smelter or refiner was actually used in the production of components provided to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90"/>
        <w:gridCol w:w="272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w:t>
            </w:r>
          </w:p>
        </w:tc>
        <w:tc>
          <w:tcPr>
            <w:tcW w:w="27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Steps to Improve Due Diligence </w:t>
            </w:r>
          </w:p>
        </w:tc>
      </w:tr>
    </w:tbl>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communicate our expectations and information requirements to our direct suppliers. We will also continue to monitor changes in circumstances that may impact the facts or our determination. Over time, we anticipate that the amount of information globally on the traceability and sourcing of conflict minerals will likely increase and improve our knowledge. We will continue to make inquiries to our direct suppliers and undertake additional fact and risk assessments where potentially relevant changes in facts or circumstances are identified. Accordingly, we will continue to encourage our direct suppliers to improve their own due diligence programs as well as encourage smelters and refiners in the supply chain to engage with or conform to the assessment protocols of the RMAP or another independent, third-party audit program. If we become aware of a supplier whose due diligence needs improvement, we intend to continue the trade relationship while that supplier improves its performance. We expect our direct suppliers to take similar measures with their suppliers to ensure alignment throughout the supply chain.</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65"/>
        <w:gridCol w:w="2885"/>
      </w:tblGrid>
      <w:tr>
        <w:trPr/>
        <w:tc>
          <w:tcPr>
            <w:tcW w:w="3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VII.</w:t>
            </w:r>
          </w:p>
        </w:tc>
        <w:tc>
          <w:tcPr>
            <w:tcW w:w="28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Independent Private Sector Audit </w:t>
            </w:r>
          </w:p>
        </w:tc>
      </w:tr>
    </w:tbl>
    <w:p>
      <w:pPr>
        <w:pStyle w:val="TextBody"/>
        <w:bidi w:val="0"/>
        <w:spacing w:before="0" w:after="0"/>
        <w:ind w:left="61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independent private sector audit is not required for calendar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0"/>
        <w:gridCol w:w="6506"/>
        <w:gridCol w:w="3129"/>
      </w:tblGrid>
      <w:tr>
        <w:trPr/>
        <w:tc>
          <w:tcPr>
            <w:tcW w:w="57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6506"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312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Minera Titan del Peru SRL (MTP) - Belen Plant</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PERU</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Gasabo Gold Refinery Ltd</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RWANDA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Elite Industech Co., Ltd.</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 PROVINCE OF CHINA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Impala Platinum - Platinum Metals Refinery (PMR)</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AFRICA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Attero Recycling Pvt Ltd</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GG Refinery Ltd.</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TANZANIA, UNITED REPUBLIC OF</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TITAN COMPANY LIMITED, JEWELLERY DIVISION</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SHENZHEN JINJUNWEI RESOURCE COMPREHENSIVE DEVELOPMENT CO., LTD.</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Coimpa Industrial LTDA</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NOBLE METAL SERVICES</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 Precious Metals FZ-LLC</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Dongwu Gold Group</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by Gold Colombia</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COLOMBIA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WEEEREFINING</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 Concentrators SA (Pty) Ltd.</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AFRICA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Metallix Refining Inc.</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MD Overseas</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Alexy Metals</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 Rasmussen</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NORWAY</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Emerald Jewel Industry India Limited (Unit 4)</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Emerald Jewel Industry India Limited (Unit 3)</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Emerald Jewel Industry India Limited (Unit 2)</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Emerald Jewel Industry India Limited (Unit 1)</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Kundan Care Products Ltd.</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Augmont Enterprises Private Limited</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 West Plant</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 North Plant</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Sovereign Metals</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CGR Metalloys Pvt Ltd.</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Dijllah Gold Refinery FZC</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QG Refining, LLC</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NH Recytech Company</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Coast Refinery</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GHANA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African Gold Refinery</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UGANDA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Research Institute Center for Physical Sciences and Technology</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LITHUANIA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Safimet S.p.A</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ABC Refinery Pty Ltd.</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Planta Recuperadora de Metales SpA</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CHILE</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SungEel HiMetal Co., Ltd.</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5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JALAN &amp; Company</w:t>
            </w:r>
          </w:p>
        </w:tc>
        <w:tc>
          <w:tcPr>
            <w:tcW w:w="31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060" w:type="dxa"/>
        <w:jc w:val="left"/>
        <w:tblInd w:w="0" w:type="dxa"/>
        <w:tblLayout w:type="fixed"/>
        <w:tblCellMar>
          <w:top w:w="0" w:type="dxa"/>
          <w:left w:w="0" w:type="dxa"/>
          <w:bottom w:w="28" w:type="dxa"/>
          <w:right w:w="0" w:type="dxa"/>
        </w:tblCellMar>
      </w:tblPr>
      <w:tblGrid>
        <w:gridCol w:w="575"/>
        <w:gridCol w:w="5105"/>
        <w:gridCol w:w="3380"/>
      </w:tblGrid>
      <w:tr>
        <w:trPr/>
        <w:tc>
          <w:tcPr>
            <w:tcW w:w="57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510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33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Pease &amp; Curren</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Degussa Sonne / Mond Goldhandel GmbH</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KYSHTYM COPPER-ELECTROLYTIC PLANT ZAO</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Bangalore Refinery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Modeltech Sdn Bhd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Sai Refinery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GGC Gujrat Gold Centre Pvt.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 Traders and Refiners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AFRICA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Ogussa Osterreichische Gold- und Silber-Scheideanstalt GmbH</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WIELAND Edelmetalle GmbH</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Italpreziosi</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8853 S.p.A.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L'Orfebre S.A.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ANDORRA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SAAMP</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Albino Mountinho Lda.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PORTUGAL</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Shenzhen CuiLu Gold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Abington Reldan Metals, LLC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 Tau-Ken-Altyn</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KAZAKHSTAN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Marsam Metals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Zinc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Shirpur Gold Refinery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Industrial Refining Company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Fujairah Gold FZC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REMONDIS PMR B.V.</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NETHERLANDS</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T.C.A S.p.A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Sudan Gold Refinery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SUDAN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Kaloti Precious Metals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Precious Metal Refiners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Emirates Gold DMCC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 Etihad Gold Refinery DMCC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Shenzhen Zhonghenglong Real Industry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Humon Smelting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Singway Technology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 PROVINCE OF 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Fidelity Printers and Refiners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ZIMBABWE</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KGHM Polska Miedz Spolka Akcyjna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POLAND</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MMTC-PAMP India Pvt.,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Umicore Precious Metals Thailand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Jinding Gold Limited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Safina a.s.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CZECHIA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Morris and Watson</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ZEALAND</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Refinery of Zijin Mining Group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573"/>
        <w:gridCol w:w="6338"/>
        <w:gridCol w:w="3294"/>
      </w:tblGrid>
      <w:tr>
        <w:trPr/>
        <w:tc>
          <w:tcPr>
            <w:tcW w:w="573"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6338"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3294"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Zhongyuan Gold Smelter of Zhongjin Gold Corporation</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Yokohama Metal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Yamakin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Western Australian Mint (T/a The Perth Mint)</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Valcambi S.A.</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Precious Metal Refining, Inc.</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Umicore S.A. Business Unit Precious Metals Refining</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Torecom</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Tongling Nonferrous Metals Group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Tokuriki Honten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gold smelting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Great Wall Precious Metals Co., Ltd. of CBPM</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Tanaka Kikinzoku Kogyo K.K.</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Dragon Technology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 PROVINCE OF CHINA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Sumitomo Metal Mining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Solar Applied Materials Technology Corp.</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 PROVINCE OF CHINA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SOE Shyolkovsky Factory of Secondary Precious Metals</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Sichuan Tianze Precious Metals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Zhaojin Gold &amp; Silver Refinery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Tiancheng Biological Gold Industrial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SEMPSA Joyeria Plateria S.A.</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SAMWON METALS Corp.</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Samduck Precious Metals</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Sabin Metal Corp.</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 Canadian Mint</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Rand Refinery (Pty)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AFRICA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PX Precinox S.A.</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Aneka Tambang (Persero) Tbk</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Prioksky Plant of Non-Ferrous Metals</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Penglai Penggang Gold Industry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MKS PAMP SA</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OJSC "The Gulidov Krasnoyarsk Non-Ferrous Metals Plant" (OJSC Krastsvetmet)</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Ohura Precious Metal Industry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Nihon Material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Navoi Mining and Metallurgical Combinat</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UZBEKISTAN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Nadir Metal Rafineri San. Ve Tic. A.S.</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TURKEY</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Moscow Special Alloys Processing Plant</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Mitsui Mining and Smelting Co., Ltd.</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Mitsubishi Materials Corporation</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Metalurgica Met-Mex Penoles S.A. De C.V.</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MEXICO</w:t>
            </w:r>
          </w:p>
        </w:tc>
      </w:tr>
      <w:tr>
        <w:trPr/>
        <w:tc>
          <w:tcPr>
            <w:tcW w:w="57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33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USA Refining Corporation</w:t>
            </w:r>
          </w:p>
        </w:tc>
        <w:tc>
          <w:tcPr>
            <w:tcW w:w="32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315" w:type="dxa"/>
        <w:jc w:val="left"/>
        <w:tblInd w:w="0" w:type="dxa"/>
        <w:tblLayout w:type="fixed"/>
        <w:tblCellMar>
          <w:top w:w="0" w:type="dxa"/>
          <w:left w:w="0" w:type="dxa"/>
          <w:bottom w:w="28" w:type="dxa"/>
          <w:right w:w="0" w:type="dxa"/>
        </w:tblCellMar>
      </w:tblPr>
      <w:tblGrid>
        <w:gridCol w:w="575"/>
        <w:gridCol w:w="5360"/>
        <w:gridCol w:w="3380"/>
      </w:tblGrid>
      <w:tr>
        <w:trPr/>
        <w:tc>
          <w:tcPr>
            <w:tcW w:w="57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536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33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(Singapore) Pte.,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(Hong Kong)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(Suzhou)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Matsuda Sangyo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Materion</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Luoyang Zijin Yinhui Gold Refinery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LS MnM Inc.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Lingbao Jinyuan Tonghui Refinery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Lingbao Gold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L'azurde Company For Jewelry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SAUDI ARABIA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Kyrgyzaltyn JSC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KYRGYZSTAN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Kojima Chemicals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Kennecott Utah Copper LLC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Kazzinc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KAZAKHSTAN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Kazakhmys Smelting LLC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KAZAKHSTAN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JX Nippon Mining &amp; Metals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Uralelectromed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Ekaterinburg Non-Ferrous Metal Processing Plant</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Refining Canada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Refining USA Inc.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Copper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 Mint</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Istanbul Gold Refinery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TURKEY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Ishifuku Metal Industry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Inner Mongolia Qiankun Gold and Silver Refinery Share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HwaSeong CJ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Guiyang yinxing Nonferrous Smelting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Chenzhou Mining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Heraeus Germany GmbH Co. KG</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Heraeus Metals Hong Kong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Heimerle + Meule GmbH</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LT Metal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Fuchunjiang Smelting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Guoda Safina High-Tech Environmental Refinery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Refinery of Seemine Gold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Novosibirsk Refinery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 East Plant</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Dowa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DSC (Do Sung Corporation)</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Daye Non-Ferrous Metals Mining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985" w:type="dxa"/>
        <w:jc w:val="left"/>
        <w:tblInd w:w="0" w:type="dxa"/>
        <w:tblLayout w:type="fixed"/>
        <w:tblCellMar>
          <w:top w:w="0" w:type="dxa"/>
          <w:left w:w="0" w:type="dxa"/>
          <w:bottom w:w="28" w:type="dxa"/>
          <w:right w:w="0" w:type="dxa"/>
        </w:tblCellMar>
      </w:tblPr>
      <w:tblGrid>
        <w:gridCol w:w="575"/>
        <w:gridCol w:w="5030"/>
        <w:gridCol w:w="3380"/>
      </w:tblGrid>
      <w:tr>
        <w:trPr/>
        <w:tc>
          <w:tcPr>
            <w:tcW w:w="57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50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33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Chugai Mining</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Chimet S.p.A.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Copper Industry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Cendres + Metaux S.A.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CCR Refinery - Glencore Canada Corporation</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Caridad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MEXICO</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Hafner GmbH + Co. KG</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Boliden Ronnskar</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SWEDEN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Bangko Sentral ng Pilipinas (Central Bank of the Philippines)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Aurubis AG</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Atasay Kuyumculuk Sanayi Ve Ticaret A.S.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TURKEY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Asaka Riken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METALFINE, Inc.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Argor-Heraeus S.A.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AngloGold Ashanti Corrego do Sitio Mineracao</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Almalyk Mining and Metallurgical Complex (AMMC)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UZBEKISTAN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Agosi AG</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Aida Chemical Industries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Advanced Chemical Company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ARY Aurum Plus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 Metales Procesados Industriales SAS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COLOMBIA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Daejin Indus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DODUCO Contacts and Refining GmbH</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Elemetal Refining, LLC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Geib Refining Corporation</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 Seng Technology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Henan Yuguang Gold &amp; Lead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House of Currency of Brazil (Casa da Moeda do Brazil)</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Hung Cheong Metal Manufacturing Limited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Impala Platinum - Rustenburg Smelter</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AFRICA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Impala Refineries – Base Metals Refinery (BMR)</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AFRICA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Jinlong Copper Co.,Ltd.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KP Sanghvi International Pvt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Nyrstar Clarksville</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Republic Metals Corporation</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Sancus ZFS (L’Orfebre, SA)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COLOMBIA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SAXONIA Edelmetalle GmbH</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Sellem Industries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MAURITANIA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 Tou Shi Yong Yuan Jin Shu Zai Sheng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Yanggu Xiangguang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Zhongkuang Group Co.,Ltd.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360" w:type="dxa"/>
        <w:jc w:val="left"/>
        <w:tblInd w:w="0" w:type="dxa"/>
        <w:tblLayout w:type="fixed"/>
        <w:tblCellMar>
          <w:top w:w="0" w:type="dxa"/>
          <w:left w:w="0" w:type="dxa"/>
          <w:bottom w:w="28" w:type="dxa"/>
          <w:right w:w="0" w:type="dxa"/>
        </w:tblCellMar>
      </w:tblPr>
      <w:tblGrid>
        <w:gridCol w:w="815"/>
        <w:gridCol w:w="5165"/>
        <w:gridCol w:w="3380"/>
      </w:tblGrid>
      <w:tr>
        <w:trPr/>
        <w:tc>
          <w:tcPr>
            <w:tcW w:w="81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51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33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Shenzhen Heng Zhong Industry Co.,Ltd.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Sino-platinum Metals CO.,Ltd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SOLEIL METALS (Chala One Plant)</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PERU</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SOLEIL METALS (YAKARI Plant)</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PERU</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Tsai Brother Industries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 PROVINCE OF 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TSK Pretech</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Umicore Brasil Ltda.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Value Trading BV</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Wuzhong Group</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Yantai Zhaojin Kanfort Precious Metals Incorporated Company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Gold Mining Group Co., Ltd. (YGMG)</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 Jiang Guang Yuan Noble Metal Smelting Factory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Suns Nonferrous Materials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PowerX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RWANDA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5D Production OU</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ESTONIA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RFH Yancheng Jinye New Material Technology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Tuohong New Raw Material</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Resind Industria e Comercio Ltda.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Advanced Metals Aizu</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Advanced Metals Boyertown</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Smelting GmbH &amp; Co. KG</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Japan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Materion Newton Inc.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GmbH</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KEMET de Mexico</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MEXICO</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Dinghai Tantalum &amp; Niobium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Zhongao Tantalum &amp; Niobium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 Metals &amp; Resource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Block Metals, LLC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Hengyang King Xing Lifeng New Materials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Ulba Metallurgical Plant JSC</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KAZAKHSTAN</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Telex Metals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Taki Chemical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Solikamsk Magnesium Works OAO</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Yanling Jincheng Tantalum &amp; Niobium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Ningxia Orient Tantalum Industry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NPM Silmet AS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ESTONIA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Mitsui Mining and Smelting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Mineracao Taboca S.A.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15"/>
        <w:gridCol w:w="5013"/>
        <w:gridCol w:w="4377"/>
      </w:tblGrid>
      <w:tr>
        <w:trPr/>
        <w:tc>
          <w:tcPr>
            <w:tcW w:w="81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5013"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4377"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Metallurgical Products India Pvt.,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AMG Brasil</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Tanbre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JinXin Nonferrous Metals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XIMEI RESOURCES (GUANGDONG) LIMITED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F&amp;X Electro-Materials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Rising Rare Metals-EO Materials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ANHUI HERRMAN IMPEX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Avon Specialty Metals</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 OF GREAT BRITAIN AND NORTHERN IRELAND</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Changsha South Tantalum Niobium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Chongyi Zhangyuan Tungsten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CMT Rare Metal Advanced Materials (Hunan)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Duoluoshan</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Exotech Inc.</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Gannon &amp; Scott</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GmbH Laufenburg</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Hi-Temp Specialty Metals, Inc.</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Janny New Material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KEMET Blue Powder</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King-Tan Tantalum Industry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 Materials</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NORTH MACEDONIA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Meterion Advanced Materials Thin Film Products</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Plansee SE Liezen</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Plansee SE Reutte</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QuantumClean</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RFH Recycling Metals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Da Hung</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 PROVINCE OF 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Jiangxi Metals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STEREON Metals Hermsdorf GmbH</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Taike Technology (Suzhou)</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ULVAC, Inc.</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V&amp;D New Materials (Jiangsu)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XIMEI RESOURCES(GUIZHOU) TECHNOLOGY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XinXing HaoRong Electronic Material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Yichun Jin Yang Rare Metal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Zhuzhou Cemented Carbide Group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 Kay Metal, Inc</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Arsed Indonesia</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Longnan Chuangyue Environmental Protection Technology Development Co.,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Advanced Metals Greenbushes Pty Ltd.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50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Woodcross Smelting Company Limited</w:t>
            </w:r>
          </w:p>
        </w:tc>
        <w:tc>
          <w:tcPr>
            <w:tcW w:w="43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UGANDA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563"/>
        <w:gridCol w:w="6549"/>
        <w:gridCol w:w="3093"/>
      </w:tblGrid>
      <w:tr>
        <w:trPr/>
        <w:tc>
          <w:tcPr>
            <w:tcW w:w="563"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654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3093"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RIKAYAA GREENTECH PRIVATE LIMITED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 Smelting Corporation Berhad (Port Klang)</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Takehara PVD Materials Plant / PVD Materials Division of MITSUI MINING &amp; SMELTING CO., LTD.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Mining Minerals Resources SARL</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CONGO, DEMOCRATIC REPUBLIC OF THE</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Putera Sarana Shakti (PT PSS)</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Fabrica Auricchio Industria e Comercio Ltda.</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CRM Synergies</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CRM Fundicao De Metais E Comercio De Equipamentos Eletronicos Do Brasil Ltda</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Mitra Sukses Globalindo</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City Fuxiang Industry and Trade Co., Ltd.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Precious Minerals and Smelting Limited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Yunfan Non-ferrous Metals Co., Ltd.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Luna Smelter, Ltd.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RWANDA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Ma'anshan Weitai Tin Co., Ltd.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Dongguan CiEXPO Environmental Engineering Co., Ltd.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Technology &amp; Refining</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Pongpipat Company Limited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MYANMAR</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Chifeng Dajingzi Tin Industry Co., Ltd.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Hanhe Non-Ferrous Metal Co., Ltd.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Modeltech Sdn Bhd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HuiChang Hill Tin Industry Co., Ltd.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Bangka Prima Tin</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Aurubis Berango</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Aurubis Beerse</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Ligas</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Resind Industria e Comercio Ltda.</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Vinh Joint Stock Mineral Processing Company</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Cipta Persada Mulia</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Rajehan Ariq</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Tuyen Quang Non-Ferrous Metals Joint Stock Company</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Nghe Tinh Non-Ferrous Metals Joint Stock Company</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Electro-Mechanical Facility of the Cao Bang Minerals &amp; Metallurgy Joint Stock Company</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 Manufacturing Philippines, Inc.</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ATD Makmur Mandiri Jaya</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Melt Metais e Ligas S.A.</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Magnu's Minerais Metais e Ligas Ltda.</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Smelting Branch of Yunnan Tin Co., Ltd.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Chengfeng Non-ferrous Metals Co., Ltd.</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6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5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White Solder Metalurgia e Mineracao Ltda.</w:t>
            </w:r>
          </w:p>
        </w:tc>
        <w:tc>
          <w:tcPr>
            <w:tcW w:w="30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20" w:type="dxa"/>
        <w:jc w:val="left"/>
        <w:tblInd w:w="0" w:type="dxa"/>
        <w:tblLayout w:type="fixed"/>
        <w:tblCellMar>
          <w:top w:w="0" w:type="dxa"/>
          <w:left w:w="0" w:type="dxa"/>
          <w:bottom w:w="28" w:type="dxa"/>
          <w:right w:w="0" w:type="dxa"/>
        </w:tblCellMar>
      </w:tblPr>
      <w:tblGrid>
        <w:gridCol w:w="575"/>
        <w:gridCol w:w="4505"/>
        <w:gridCol w:w="3440"/>
      </w:tblGrid>
      <w:tr>
        <w:trPr/>
        <w:tc>
          <w:tcPr>
            <w:tcW w:w="57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450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344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VQB Mineral and Trading Group JSC</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Yunxin Nonferrous Electrolysis Co., Ltd.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Thaisarco</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Da Hung</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 PROVINCE OF 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Timah Tbk Mentok</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Timah Tbk Kundur</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Prima Timah Utama</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Mitra Stania Prima</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Operaciones Metalurgicas S.A.</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BOLIVIA (PLURINATIONAL STATE OF)</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 Manufacturing (Thailand) Co., Ltd.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Novosibirsk Tin Combine</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New Nanshan Technology Ltd.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Mitsubishi Materials Corporation</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Minsur</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PERU</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Mineracao Taboca S.A.</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Metallic Resources, Inc.</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Tin Group Co., Ltd.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Kai Meng Industry and Trade LLC</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Zili Mining And Metallurgy Co., Ltd.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Non-Ferrous Metal Processing Co., Ltd.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Fenix Metals</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POLAND</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Estanho de Rondonia S.A.</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 Vinto</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BOLIVIA (PLURINATIONAL STATE OF)</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Dowa</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Dongguan Best Alloys Co., Ltd.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Premium Tin Indonesia</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Alpha Assembly Solutions Inc</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Chenzhou Yunxiang Mining and Metallurgy Co., Ltd.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CNMC (Guangxi) PGMA Co., Ltd.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Cooperativa Metalurgica de Rondonia Ltda.</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 Ayi Jaya</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 Dua Sekawan</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 Gita Pesona</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 United Smelting</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 Venus Inti Perkasa</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DingNan JiaWang HuanBao Co. LTD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 GUAN SHI XI DA HAN XI PRODUCT CO., LTD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Dragon Silver Holdings Limited</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DS Myanmar</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MYANMAR</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Feinhütte Halsbrücke GmbH</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Fengming Metallurgy Chemical Plant</w:t>
            </w:r>
          </w:p>
        </w:tc>
        <w:tc>
          <w:tcPr>
            <w:tcW w:w="34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35" w:type="dxa"/>
        <w:jc w:val="left"/>
        <w:tblInd w:w="0" w:type="dxa"/>
        <w:tblLayout w:type="fixed"/>
        <w:tblCellMar>
          <w:top w:w="0" w:type="dxa"/>
          <w:left w:w="0" w:type="dxa"/>
          <w:bottom w:w="28" w:type="dxa"/>
          <w:right w:w="0" w:type="dxa"/>
        </w:tblCellMar>
      </w:tblPr>
      <w:tblGrid>
        <w:gridCol w:w="575"/>
        <w:gridCol w:w="4580"/>
        <w:gridCol w:w="3380"/>
      </w:tblGrid>
      <w:tr>
        <w:trPr/>
        <w:tc>
          <w:tcPr>
            <w:tcW w:w="57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45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33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Anson tin products Manufacturing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GUANGXI HUA TIN GOLD MINUTE FEE,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Guangxi Non-ferrous Metals Group Co..ltd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Guangxi Zhongshan Jin Yi Smelting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Guanyang Guida Nonferrous Metal Smelting Plant</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Hezhou Jinwei Tin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Hongqiao Metals (Kunshan)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Huichang Jinshunda Tin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HUIZHOU LIAN JING METAL MATERIAL CO.,LTD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Xianghualing Tin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 GOLDSCHMIDT INTERNATIONAL S.A.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Ketai Advanced Material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Yaosheng Tungsten Co.,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KOBE STEEL, 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 On Shuguang Smelting Plant</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Materials Eco-Refining CO.,LTD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Metahub Industries Sdn. Bhd.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Minchali Metal Industry Co.,Ltd</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 PROVINCE OF 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Ming Li Jia Smelt Metal Factory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Ney Metals and Alloys</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Plansee Group</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Aries Kencana Sejahtera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Artha Cipta Langgeng</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Babel Inti Perkasa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Babel Surya Alam Lestari</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Bangka Serumpun</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Bangka Tin Industry</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Belitung Industri Sejahtera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Bukit Timah</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DS Jaya Abadi</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Eunindo Usaha Mandiri</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Inti Stania Prima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Justindo</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Karimun Mining</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Kijang Jaya Mandiri</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Koba Tin</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Lautan Harmonis Sejahtera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Masbro Alam Stania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Menara Cipta Mulia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Mitra Graha Raya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Panca Mega Persada</w:t>
            </w:r>
          </w:p>
        </w:tc>
        <w:tc>
          <w:tcPr>
            <w:tcW w:w="3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150" w:type="dxa"/>
        <w:jc w:val="left"/>
        <w:tblInd w:w="0" w:type="dxa"/>
        <w:tblLayout w:type="fixed"/>
        <w:tblCellMar>
          <w:top w:w="0" w:type="dxa"/>
          <w:left w:w="0" w:type="dxa"/>
          <w:bottom w:w="28" w:type="dxa"/>
          <w:right w:w="0" w:type="dxa"/>
        </w:tblCellMar>
      </w:tblPr>
      <w:tblGrid>
        <w:gridCol w:w="800"/>
        <w:gridCol w:w="4715"/>
        <w:gridCol w:w="3635"/>
      </w:tblGrid>
      <w:tr>
        <w:trPr/>
        <w:tc>
          <w:tcPr>
            <w:tcW w:w="8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471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363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Rajawali Rimba Perkasa</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REFINED BANGKA TIN</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Sariwiguna Binasentosa</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Stanindo Inti Perkasa</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Sukses Inti Makmur (SIM)</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Sumber Jaya Indah</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Timah Nusantara</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Tinindo Inter Nusa</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Tirus Putra Mandiri</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Tommy Utama</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Wahana Perkit Jaya</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Rian Resources SDN. BHD.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 Tou Shi Yong Yuan Jin Shu Zai Sheng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Shangrao Xuri Smelting Factory</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SIGMA TIN ALLOY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Soft Metais Ltda.</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SUZHOU NUONENGDA CHEMICAL CO.,LTD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Taicang City Nancang Metal Material Co.,Ltd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 Nguyen Mining and Metallurgy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PLATING GEJIU</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TRATHO Metal Quimica</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Honglu Tungsten Molybdenum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YiQuan Precision Metal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 Furukawa Metal ( Wuxi )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Yifeng Tin Industry (Chenzhou)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Zhongshan Jinye Smelting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Tungamoy Metals Inc.</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S.P.T. spol.s r.o.</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CZECHIA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LAOS SOUTHERN MINING SMELTING SOLE CO.,LTD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LAO PEOPLE'S DEMOCRATIC REPUBLIC</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Jing Yuan Tungsten Technology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 PROVINCE OF 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 Bonway Manufacturing Industrial Corporation</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KENEE MINING VIETNAM COMPANY LIMITED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 Carreytech Metal Corp.</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Shinwon Tungsten (Fujian Shanghang)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Lianyou Resources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 PROVINCE OF 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DONGKUK INDUSTRIES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MALAMET SMELTING SDN. BHD.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 Viet Cromit Joint Stock Company</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Vietnam Joint Stock Company</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HANNAE FOR T Co., Ltd.</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00"/>
        <w:gridCol w:w="6281"/>
        <w:gridCol w:w="3124"/>
      </w:tblGrid>
      <w:tr>
        <w:trPr/>
        <w:tc>
          <w:tcPr>
            <w:tcW w:w="8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6281"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3124"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YUDU ANSHENG TUNGSTEN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LLC Vostok</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OOO “Technolom” 1</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OOO “Technolom” 2</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Fujian Xinlu Tungsten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Artek LLC</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Cronimet Brasil Ltda</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Albasteel Industria e Comercio de Ligas Para Fundicao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Hubei Green Tungsten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NPP Tyazhmetprom LLC</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"Kirovgrad Hard Alloys Plant"</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Lianyou Metals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 PROVINCE OF 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Moliren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ACL Metais Eireli</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 Chuangxin Industrial Co., Inc.</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Unecha Refractory metals plant</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Hydrometallurg, JSC</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Molybdenum Tungsten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Niagara Refining LLC</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Jiangwu H.C. Starck Tungsten Products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Masan High-Tech Materials</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Smelting GmbH &amp; Co. KG</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Tungsten GmbH</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Shizhuyuan Nonferrous Metals Co., Ltd. Chenzhou Tungsten Products Branch</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Asia Tungsten Products Vietnam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Seadragon W &amp; Mo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Gan Bei Tungsten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Tungsten (H.C.)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Malipo Haiyu Tungsten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Tonggu Non-ferrous Metallurgical &amp; Chemical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Xinsheng Tungsten Industry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Yaosheng Tungsten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Jiangwu Ferrotungsten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Minmetals Gao'an Non-ferrous Metals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Tungsten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Wolfram Bergbau und Hutten AG</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Kennametal Fallon</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 New Metals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Jintai New Material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Tungsten &amp; Powders LLC</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CNMC (Guangxi) PGMA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2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Chongyi Zhangyuan Tungsten Co., Ltd.</w:t>
            </w:r>
          </w:p>
        </w:tc>
        <w:tc>
          <w:tcPr>
            <w:tcW w:w="31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00"/>
        <w:gridCol w:w="4476"/>
        <w:gridCol w:w="4929"/>
      </w:tblGrid>
      <w:tr>
        <w:trPr/>
        <w:tc>
          <w:tcPr>
            <w:tcW w:w="8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Metal </w:t>
            </w:r>
          </w:p>
        </w:tc>
        <w:tc>
          <w:tcPr>
            <w:tcW w:w="4476"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Smelter or Refiner Name </w:t>
            </w:r>
          </w:p>
        </w:tc>
        <w:tc>
          <w:tcPr>
            <w:tcW w:w="492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Location of Smelter or Refiner Facility </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Xianglu Tungsten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Kennametal Huntsville</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A.L.M.T. Corp.</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Avon Specialty Metals</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 OF GREAT BRITAIN AND NORTHERN IRELAND</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BESEEM MINING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National Nonferrous Metals Imp. &amp; Exp. Jiangxi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Fujian Ganmin RareMetal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Fujian Jinxin Tungsten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Haichuang Tungsten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Huaxing Tungsten Products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Non-ferrous Metals Smelting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Sunny Non-Ferrous Metals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Chenzhou Mining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Chuangda Vanadium Tungsten Co., Ltd. Wuji</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Litian Tungsten Industry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Xianglu Tungsten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Xiushui Xianggan Nonferrous Metals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KGETS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Meterion Advanced Materials Thin Film Products</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Minmetals Ganzhou Tin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Mitsui Mining and Smelting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Ningxia Orient Tantalum Industry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Plansee Group</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Plansee Group</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Sanher Tungsten Vietnam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Sumitomo Metal Mining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Tejing (Vietnam) Tungsten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Thaisarco</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Diversified Industries LLC</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Uzbekistan Technological Metallurgical Complex JSC</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UZBEKISTAN</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Vietnam Youngsun Tungsten Industry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 NAM</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Woltech Korea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REPUBLIC OF</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Xinfeng Huarui Tungsten &amp; Molybdenum New Material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Xinhai Rendan Shaoguan Tungsten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44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Zhuzhou Cemented Carbide Group Co. Ltd</w:t>
            </w:r>
          </w:p>
        </w:tc>
        <w:tc>
          <w:tcPr>
            <w:tcW w:w="4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5633</Words>
  <Characters>31700</Characters>
  <CharactersWithSpaces>35818</CharactersWithSpaces>
  <Paragraphs>1845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