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225425</wp:posOffset>
            </wp:positionH>
            <wp:positionV relativeFrom="page">
              <wp:posOffset>706120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0" w:lineRule="exact"/>
        <w:rPr>
          <w:sz w:val="24"/>
          <w:szCs w:val="24"/>
          <w:color w:val="auto"/>
        </w:rPr>
      </w:pPr>
    </w:p>
    <w:p>
      <w:pPr>
        <w:spacing w:after="0" w:line="285" w:lineRule="exact"/>
        <w:rPr>
          <w:sz w:val="24"/>
          <w:szCs w:val="24"/>
          <w:color w:val="auto"/>
        </w:rPr>
      </w:pPr>
    </w:p>
    <w:p>
      <w:pPr>
        <w:ind w:left="400" w:hanging="338"/>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 (d)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4" w:lineRule="exact"/>
        <w:rPr>
          <w:sz w:val="24"/>
          <w:szCs w:val="24"/>
          <w:color w:val="auto"/>
        </w:rPr>
      </w:pPr>
    </w:p>
    <w:p>
      <w:pPr>
        <w:ind w:left="400" w:hanging="338"/>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58"/>
        </w:trPr>
        <w:tc>
          <w:tcPr>
            <w:tcW w:w="362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72390</wp:posOffset>
            </wp:positionV>
            <wp:extent cx="101155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DIGI INTERNATIONAL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37"/>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27"/>
        </w:trPr>
        <w:tc>
          <w:tcPr>
            <w:tcW w:w="3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2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50"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4" w:lineRule="exact"/>
        <w:rPr>
          <w:sz w:val="24"/>
          <w:szCs w:val="24"/>
          <w:color w:val="auto"/>
        </w:rPr>
      </w:pPr>
    </w:p>
    <w:p>
      <w:pPr>
        <w:ind w:right="298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 July 29, 2022, there were 35,292,317 shares of the registrant's $.01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INDEX</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986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Unaudited Financial Statements:</w:t>
            </w:r>
          </w:p>
        </w:tc>
        <w:tc>
          <w:tcPr>
            <w:tcW w:w="684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439"/>
        </w:trPr>
        <w:tc>
          <w:tcPr>
            <w:tcW w:w="120" w:type="dxa"/>
            <w:vAlign w:val="bottom"/>
          </w:tcPr>
          <w:p>
            <w:pPr>
              <w:spacing w:after="0"/>
              <w:rPr>
                <w:sz w:val="24"/>
                <w:szCs w:val="24"/>
                <w:color w:val="auto"/>
              </w:rPr>
            </w:pPr>
          </w:p>
        </w:tc>
        <w:tc>
          <w:tcPr>
            <w:tcW w:w="45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160" w:type="dxa"/>
            <w:vAlign w:val="bottom"/>
            <w:gridSpan w:val="3"/>
          </w:tcPr>
          <w:p>
            <w:pPr>
              <w:spacing w:after="0"/>
              <w:rPr>
                <w:sz w:val="24"/>
                <w:szCs w:val="24"/>
                <w:color w:val="auto"/>
              </w:rPr>
            </w:pPr>
          </w:p>
        </w:tc>
        <w:tc>
          <w:tcPr>
            <w:tcW w:w="122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0" w:type="dxa"/>
            <w:vAlign w:val="bottom"/>
          </w:tcPr>
          <w:p>
            <w:pPr>
              <w:spacing w:after="0"/>
              <w:rPr>
                <w:sz w:val="24"/>
                <w:szCs w:val="24"/>
                <w:color w:val="auto"/>
              </w:rPr>
            </w:pP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64"/>
        </w:trPr>
        <w:tc>
          <w:tcPr>
            <w:tcW w:w="120" w:type="dxa"/>
            <w:vAlign w:val="bottom"/>
          </w:tcPr>
          <w:p>
            <w:pPr>
              <w:spacing w:after="0"/>
              <w:rPr>
                <w:sz w:val="22"/>
                <w:szCs w:val="22"/>
                <w:color w:val="auto"/>
              </w:rPr>
            </w:pPr>
          </w:p>
        </w:tc>
        <w:tc>
          <w:tcPr>
            <w:tcW w:w="44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340" w:type="dxa"/>
            <w:vAlign w:val="bottom"/>
            <w:gridSpan w:val="4"/>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11"/>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8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9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5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3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2020" w:type="dxa"/>
            <w:vAlign w:val="bottom"/>
            <w:gridSpan w:val="8"/>
          </w:tcPr>
          <w:p>
            <w:pPr>
              <w:spacing w:after="0"/>
              <w:rPr>
                <w:sz w:val="24"/>
                <w:szCs w:val="24"/>
                <w:color w:val="auto"/>
              </w:rPr>
            </w:pPr>
          </w:p>
        </w:tc>
        <w:tc>
          <w:tcPr>
            <w:tcW w:w="4840" w:type="dxa"/>
            <w:vAlign w:val="bottom"/>
            <w:gridSpan w:val="2"/>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60" w:type="dxa"/>
            <w:vAlign w:val="bottom"/>
            <w:gridSpan w:val="3"/>
          </w:tcPr>
          <w:p>
            <w:pPr>
              <w:spacing w:after="0"/>
              <w:rPr>
                <w:sz w:val="24"/>
                <w:szCs w:val="24"/>
                <w:color w:val="auto"/>
              </w:rPr>
            </w:pPr>
          </w:p>
        </w:tc>
        <w:tc>
          <w:tcPr>
            <w:tcW w:w="6860" w:type="dxa"/>
            <w:vAlign w:val="bottom"/>
            <w:gridSpan w:val="10"/>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7420" w:type="dxa"/>
            <w:vAlign w:val="bottom"/>
            <w:gridSpan w:val="13"/>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700" w:type="dxa"/>
            <w:vAlign w:val="bottom"/>
            <w:gridSpan w:val="2"/>
          </w:tcPr>
          <w:p>
            <w:pPr>
              <w:spacing w:after="0"/>
              <w:rPr>
                <w:sz w:val="24"/>
                <w:szCs w:val="24"/>
                <w:color w:val="auto"/>
              </w:rPr>
            </w:pPr>
          </w:p>
        </w:tc>
        <w:tc>
          <w:tcPr>
            <w:tcW w:w="7880" w:type="dxa"/>
            <w:vAlign w:val="bottom"/>
            <w:gridSpan w:val="14"/>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color w:val="auto"/>
              </w:rPr>
              <w:t>Nine months ended June 30,</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6"/>
          </w:tcPr>
          <w:p>
            <w:pPr>
              <w:ind w:left="26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77,627</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210,592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197,831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25,890</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31,695</w:t>
            </w:r>
          </w:p>
        </w:tc>
        <w:tc>
          <w:tcPr>
            <w:tcW w:w="0" w:type="dxa"/>
            <w:vAlign w:val="bottom"/>
          </w:tcPr>
          <w:p>
            <w:pPr>
              <w:spacing w:after="0"/>
              <w:rPr>
                <w:sz w:val="1"/>
                <w:szCs w:val="1"/>
                <w:color w:val="auto"/>
              </w:rPr>
            </w:pPr>
          </w:p>
        </w:tc>
      </w:tr>
      <w:tr>
        <w:trPr>
          <w:trHeight w:val="207"/>
        </w:trPr>
        <w:tc>
          <w:tcPr>
            <w:tcW w:w="4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103,517</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sales</w:t>
            </w: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46,091</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105,495</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124,031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34,822</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charge</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38,538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116,789</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 net</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6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35,131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Nine months ended June 30,</w:t>
            </w:r>
          </w:p>
        </w:tc>
      </w:tr>
      <w:tr>
        <w:trPr>
          <w:trHeight w:val="210"/>
        </w:trPr>
        <w:tc>
          <w:tcPr>
            <w:tcW w:w="46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2021</w:t>
            </w:r>
          </w:p>
        </w:tc>
      </w:tr>
      <w:tr>
        <w:trPr>
          <w:trHeight w:val="210"/>
        </w:trPr>
        <w:tc>
          <w:tcPr>
            <w:tcW w:w="4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4,126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8,160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(1,359)</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8"/>
              </w:rPr>
              <w:t>(1,519)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w:t>
            </w:r>
          </w:p>
        </w:tc>
      </w:tr>
      <w:tr>
        <w:trPr>
          <w:trHeight w:val="207"/>
        </w:trPr>
        <w:tc>
          <w:tcPr>
            <w:tcW w:w="4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(1,359)</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8"/>
              </w:rPr>
              <w:t>(1,519)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w:t>
            </w: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2,767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9"/>
              </w:rPr>
              <w:t>6,641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color w:val="auto"/>
              </w:rPr>
              <w:t>June 30, 2022</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September 30, 2021</w:t>
            </w: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4"/>
          </w:tcPr>
          <w:p>
            <w:pPr>
              <w:jc w:val="right"/>
              <w:ind w:right="624"/>
              <w:spacing w:after="0"/>
              <w:rPr>
                <w:sz w:val="20"/>
                <w:szCs w:val="20"/>
                <w:color w:val="auto"/>
              </w:rPr>
            </w:pPr>
            <w:r>
              <w:rPr>
                <w:rFonts w:ascii="Times New Roman" w:cs="Times New Roman" w:eastAsia="Times New Roman" w:hAnsi="Times New Roman"/>
                <w:sz w:val="15"/>
                <w:szCs w:val="15"/>
                <w:color w:val="auto"/>
              </w:rPr>
              <w:t>(in thousands, except share data)</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152,432</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43,738</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43,921</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Income taxes receivable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2,698</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3,869</w:t>
            </w:r>
          </w:p>
        </w:tc>
        <w:tc>
          <w:tcPr>
            <w:tcW w:w="0" w:type="dxa"/>
            <w:vAlign w:val="bottom"/>
          </w:tcPr>
          <w:p>
            <w:pPr>
              <w:spacing w:after="0"/>
              <w:rPr>
                <w:sz w:val="1"/>
                <w:szCs w:val="1"/>
                <w:color w:val="auto"/>
              </w:rPr>
            </w:pPr>
          </w:p>
        </w:tc>
      </w:tr>
      <w:tr>
        <w:trPr>
          <w:trHeight w:val="194"/>
        </w:trPr>
        <w:tc>
          <w:tcPr>
            <w:tcW w:w="7800" w:type="dxa"/>
            <w:vAlign w:val="bottom"/>
            <w:gridSpan w:val="3"/>
          </w:tcPr>
          <w:p>
            <w:pPr>
              <w:ind w:left="560"/>
              <w:spacing w:after="0"/>
              <w:rPr>
                <w:sz w:val="20"/>
                <w:szCs w:val="20"/>
                <w:color w:val="auto"/>
              </w:rPr>
            </w:pPr>
            <w:r>
              <w:rPr>
                <w:rFonts w:ascii="Times New Roman" w:cs="Times New Roman" w:eastAsia="Times New Roman" w:hAnsi="Times New Roman"/>
                <w:sz w:val="15"/>
                <w:szCs w:val="15"/>
                <w:color w:val="auto"/>
              </w:rPr>
              <w:t>Total current assets</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246,658</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equipment and improvements, net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12,132</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15,684</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308,814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118,029</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341,708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225,522</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2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200"/>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assets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863,639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619,531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8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15,523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22,586</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Accrued compensation</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12,934</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Unearned revenue</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13,589</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Contingent consideration on acquired businesses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2,633</w:t>
            </w:r>
          </w:p>
        </w:tc>
        <w:tc>
          <w:tcPr>
            <w:tcW w:w="0" w:type="dxa"/>
            <w:vAlign w:val="bottom"/>
          </w:tcPr>
          <w:p>
            <w:pPr>
              <w:spacing w:after="0"/>
              <w:rPr>
                <w:sz w:val="1"/>
                <w:szCs w:val="1"/>
                <w:color w:val="auto"/>
              </w:rPr>
            </w:pPr>
          </w:p>
        </w:tc>
      </w:tr>
      <w:tr>
        <w:trPr>
          <w:trHeight w:val="200"/>
        </w:trPr>
        <w:tc>
          <w:tcPr>
            <w:tcW w:w="78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7,179</w:t>
            </w:r>
          </w:p>
        </w:tc>
        <w:tc>
          <w:tcPr>
            <w:tcW w:w="0" w:type="dxa"/>
            <w:vAlign w:val="bottom"/>
          </w:tcPr>
          <w:p>
            <w:pPr>
              <w:spacing w:after="0"/>
              <w:rPr>
                <w:sz w:val="1"/>
                <w:szCs w:val="1"/>
                <w:color w:val="auto"/>
              </w:rPr>
            </w:pPr>
          </w:p>
        </w:tc>
      </w:tr>
      <w:tr>
        <w:trPr>
          <w:trHeight w:val="198"/>
        </w:trPr>
        <w:tc>
          <w:tcPr>
            <w:tcW w:w="78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94,578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58,941</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2,334</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13,493</w:t>
            </w:r>
          </w:p>
        </w:tc>
        <w:tc>
          <w:tcPr>
            <w:tcW w:w="0" w:type="dxa"/>
            <w:vAlign w:val="bottom"/>
          </w:tcPr>
          <w:p>
            <w:pPr>
              <w:spacing w:after="0"/>
              <w:rPr>
                <w:sz w:val="1"/>
                <w:szCs w:val="1"/>
                <w:color w:val="auto"/>
              </w:rPr>
            </w:pPr>
          </w:p>
        </w:tc>
      </w:tr>
      <w:tr>
        <w:trPr>
          <w:trHeight w:val="200"/>
        </w:trPr>
        <w:tc>
          <w:tcPr>
            <w:tcW w:w="78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Long-term debt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240,702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45,799</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18,368</w:t>
            </w:r>
          </w:p>
        </w:tc>
        <w:tc>
          <w:tcPr>
            <w:tcW w:w="0" w:type="dxa"/>
            <w:vAlign w:val="bottom"/>
          </w:tcPr>
          <w:p>
            <w:pPr>
              <w:spacing w:after="0"/>
              <w:rPr>
                <w:sz w:val="1"/>
                <w:szCs w:val="1"/>
                <w:color w:val="auto"/>
              </w:rPr>
            </w:pPr>
          </w:p>
        </w:tc>
      </w:tr>
      <w:tr>
        <w:trPr>
          <w:trHeight w:val="200"/>
        </w:trPr>
        <w:tc>
          <w:tcPr>
            <w:tcW w:w="7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8,079</w:t>
            </w:r>
          </w:p>
        </w:tc>
        <w:tc>
          <w:tcPr>
            <w:tcW w:w="0" w:type="dxa"/>
            <w:vAlign w:val="bottom"/>
          </w:tcPr>
          <w:p>
            <w:pPr>
              <w:spacing w:after="0"/>
              <w:rPr>
                <w:sz w:val="1"/>
                <w:szCs w:val="1"/>
                <w:color w:val="auto"/>
              </w:rPr>
            </w:pPr>
          </w:p>
        </w:tc>
      </w:tr>
      <w:tr>
        <w:trPr>
          <w:trHeight w:val="198"/>
        </w:trPr>
        <w:tc>
          <w:tcPr>
            <w:tcW w:w="78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376,717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147,014</w:t>
            </w:r>
          </w:p>
        </w:tc>
        <w:tc>
          <w:tcPr>
            <w:tcW w:w="0" w:type="dxa"/>
            <w:vAlign w:val="bottom"/>
          </w:tcPr>
          <w:p>
            <w:pPr>
              <w:spacing w:after="0"/>
              <w:rPr>
                <w:sz w:val="1"/>
                <w:szCs w:val="1"/>
                <w:color w:val="auto"/>
              </w:rPr>
            </w:pPr>
          </w:p>
        </w:tc>
      </w:tr>
      <w:tr>
        <w:trPr>
          <w:trHeight w:val="142"/>
        </w:trPr>
        <w:tc>
          <w:tcPr>
            <w:tcW w:w="78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5"/>
                <w:szCs w:val="15"/>
                <w:color w:val="auto"/>
              </w:rPr>
              <w:t xml:space="preserve">Commitments and Contingencies (See </w:t>
            </w:r>
            <w:r>
              <w:rPr>
                <w:rFonts w:ascii="Times New Roman" w:cs="Times New Roman" w:eastAsia="Times New Roman" w:hAnsi="Times New Roman"/>
                <w:sz w:val="15"/>
                <w:szCs w:val="15"/>
                <w:color w:val="0000FF"/>
              </w:rPr>
              <w:t>Note 13</w:t>
            </w: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Preferred stock, $.01 par value; 2,000,000 shares authorized; none issued and outstanding</w:t>
            </w:r>
          </w:p>
        </w:tc>
        <w:tc>
          <w:tcPr>
            <w:tcW w:w="240" w:type="dxa"/>
            <w:vAlign w:val="bottom"/>
          </w:tcPr>
          <w:p>
            <w:pPr>
              <w:spacing w:after="0"/>
              <w:rPr>
                <w:sz w:val="17"/>
                <w:szCs w:val="17"/>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Common stock, $.01 par value; 60,000,000 shares authorized; 41,677,327 and 40,653,035 shares issued</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380,083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370,699</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Retained earnings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188,852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180,692</w:t>
            </w:r>
          </w:p>
        </w:tc>
        <w:tc>
          <w:tcPr>
            <w:tcW w:w="0" w:type="dxa"/>
            <w:vAlign w:val="bottom"/>
          </w:tcPr>
          <w:p>
            <w:pPr>
              <w:spacing w:after="0"/>
              <w:rPr>
                <w:sz w:val="1"/>
                <w:szCs w:val="1"/>
                <w:color w:val="auto"/>
              </w:rPr>
            </w:pPr>
          </w:p>
        </w:tc>
      </w:tr>
      <w:tr>
        <w:trPr>
          <w:trHeight w:val="200"/>
        </w:trPr>
        <w:tc>
          <w:tcPr>
            <w:tcW w:w="780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(22,746)</w:t>
            </w:r>
          </w:p>
        </w:tc>
        <w:tc>
          <w:tcPr>
            <w:tcW w:w="0" w:type="dxa"/>
            <w:vAlign w:val="bottom"/>
          </w:tcPr>
          <w:p>
            <w:pPr>
              <w:spacing w:after="0"/>
              <w:rPr>
                <w:sz w:val="1"/>
                <w:szCs w:val="1"/>
                <w:color w:val="auto"/>
              </w:rPr>
            </w:pPr>
          </w:p>
        </w:tc>
      </w:tr>
      <w:tr>
        <w:trPr>
          <w:trHeight w:val="205"/>
        </w:trPr>
        <w:tc>
          <w:tcPr>
            <w:tcW w:w="78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Treasury stock, at cost, 6,427,026 and 6,390,645 shares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(58,165)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(56,535)</w:t>
            </w:r>
          </w:p>
        </w:tc>
        <w:tc>
          <w:tcPr>
            <w:tcW w:w="0" w:type="dxa"/>
            <w:vAlign w:val="bottom"/>
          </w:tcPr>
          <w:p>
            <w:pPr>
              <w:spacing w:after="0"/>
              <w:rPr>
                <w:sz w:val="1"/>
                <w:szCs w:val="1"/>
                <w:color w:val="auto"/>
              </w:rPr>
            </w:pPr>
          </w:p>
        </w:tc>
      </w:tr>
      <w:tr>
        <w:trPr>
          <w:trHeight w:val="194"/>
        </w:trPr>
        <w:tc>
          <w:tcPr>
            <w:tcW w:w="78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486,922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472,517</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863,639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619,531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7"/>
                <w:szCs w:val="17"/>
                <w:color w:val="auto"/>
              </w:rPr>
              <w:t>Nine months ended June 30,</w:t>
            </w:r>
          </w:p>
        </w:tc>
      </w:tr>
      <w:tr>
        <w:trPr>
          <w:trHeight w:val="226"/>
        </w:trPr>
        <w:tc>
          <w:tcPr>
            <w:tcW w:w="80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223"/>
        </w:trPr>
        <w:tc>
          <w:tcPr>
            <w:tcW w:w="8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9"/>
                <w:szCs w:val="19"/>
                <w:color w:val="auto"/>
              </w:rPr>
            </w:pPr>
          </w:p>
        </w:tc>
      </w:tr>
      <w:tr>
        <w:trPr>
          <w:trHeight w:val="23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8,160</w:t>
            </w:r>
          </w:p>
        </w:tc>
        <w:tc>
          <w:tcPr>
            <w:tcW w:w="12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5,778</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Depreciation of property, equipment and improvements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3,211</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11,989</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6,331</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income tax provision</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Loss on sale of property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bad debt and product returns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Provision for inventory obsolescence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Restructuring charge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w:t>
            </w: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6"/>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3,144</w:t>
            </w:r>
          </w:p>
        </w:tc>
      </w:tr>
      <w:tr>
        <w:trPr>
          <w:trHeight w:val="227"/>
        </w:trPr>
        <w:tc>
          <w:tcPr>
            <w:tcW w:w="8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42,084</w:t>
            </w:r>
          </w:p>
        </w:tc>
      </w:tr>
      <w:tr>
        <w:trPr>
          <w:trHeight w:val="215"/>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businesses, net of cash acquired</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(347,553)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(6,312)</w:t>
            </w:r>
          </w:p>
        </w:tc>
      </w:tr>
      <w:tr>
        <w:trPr>
          <w:trHeight w:val="226"/>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 of property, equipment, improvements and certain other 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w:t>
            </w:r>
          </w:p>
        </w:tc>
      </w:tr>
      <w:tr>
        <w:trPr>
          <w:trHeight w:val="227"/>
        </w:trPr>
        <w:tc>
          <w:tcPr>
            <w:tcW w:w="8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(351,771)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(7,957)</w:t>
            </w:r>
          </w:p>
        </w:tc>
      </w:tr>
      <w:tr>
        <w:trPr>
          <w:trHeight w:val="215"/>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(15,625)</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for contingent consideration</w:t>
            </w:r>
          </w:p>
        </w:tc>
        <w:tc>
          <w:tcPr>
            <w:tcW w:w="3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w:t>
            </w: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stock, net of offering expenses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73,830</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stock option plan transactions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7,024</w:t>
            </w:r>
          </w:p>
        </w:tc>
      </w:tr>
      <w:tr>
        <w:trPr>
          <w:trHeight w:val="22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employee stock purchase plan transactions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3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paid for net share settlement of share-based payment options and awards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(6,476)</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r>
      <w:tr>
        <w:trPr>
          <w:trHeight w:val="219"/>
        </w:trPr>
        <w:tc>
          <w:tcPr>
            <w:tcW w:w="804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60,579</w:t>
            </w:r>
          </w:p>
        </w:tc>
      </w:tr>
      <w:tr>
        <w:trPr>
          <w:trHeight w:val="23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w:t>
            </w:r>
          </w:p>
        </w:tc>
      </w:tr>
      <w:tr>
        <w:trPr>
          <w:trHeight w:val="219"/>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92,813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152,432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54,129</w:t>
            </w:r>
          </w:p>
        </w:tc>
      </w:tr>
      <w:tr>
        <w:trPr>
          <w:trHeight w:val="227"/>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41,515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146,942</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5"/>
        </w:trPr>
        <w:tc>
          <w:tcPr>
            <w:tcW w:w="80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2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Supplemental schedule of non-cash investing and 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of inventory to property, equipment and improvements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20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Contingent consideration recognized related to acquisition of business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Tenant improvement allowance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Accrual for purchase of property, equipment, improvements and certain other intangible assets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color w:val="auto"/>
              </w:rPr>
              <w:t>Treasury Stock</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Paid-In</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Par Value</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3"/>
        </w:trPr>
        <w:tc>
          <w:tcPr>
            <w:tcW w:w="33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459,152</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June 30,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465,471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September 30, 2020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371,500</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 of offering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2021</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367,253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176,116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465,471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6,447</w:t>
            </w:r>
          </w:p>
        </w:tc>
        <w:tc>
          <w:tcPr>
            <w:tcW w:w="100" w:type="dxa"/>
            <w:vAlign w:val="bottom"/>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(58,310)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480,504</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39"/>
        </w:trPr>
        <w:tc>
          <w:tcPr>
            <w:tcW w:w="3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options and awards</w:t>
            </w: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June 30,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486,922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September 30, 2021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472,517</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issuances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0" w:type="dxa"/>
            <w:vAlign w:val="bottom"/>
          </w:tcPr>
          <w:p>
            <w:pPr>
              <w:spacing w:after="0"/>
              <w:rPr>
                <w:sz w:val="1"/>
                <w:szCs w:val="1"/>
                <w:color w:val="auto"/>
              </w:rPr>
            </w:pPr>
          </w:p>
        </w:tc>
      </w:tr>
      <w:tr>
        <w:trPr>
          <w:trHeight w:val="146"/>
        </w:trPr>
        <w:tc>
          <w:tcPr>
            <w:tcW w:w="33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Taxes paid for net share settlement of share-based</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awards</w:t>
            </w: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stock under stock award 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w:t>
            </w: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6,402</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41,677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188,852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(24,265)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486,922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36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OF UNAUDITED INTERIM CONDENSED CONSOLIDATED FINANCIAL STATEMENTS AND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Digi International Inc. ("we", "us", "our", "Digi" or "the Company") have been prepared in accordance with the rules and regulations of the United States Securities and Exchange Commission applicable to interim financial statements. While these financial statements reflect all normal recurring adjustments that are, in the opinion of management, necessary for fair presentation of the results of the interim period, they do not include all of the information and footnotes required by U.S. generally accepted accounting principles ("GAAP") for complete financial statements. These financial statements should be read in conjunction with the financial statement disclosures in our Annual Report on Form 10-K for the year ended September 30, 2021 (the "2021 Financial Statements"). We use the same accounting policies in preparing quarterly and annual financial statements. The quarterly results of operations are not necessarily indicative of the results to be expected for the full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Impacts of Macroeconomic Conditions on our Business</w:t>
      </w:r>
    </w:p>
    <w:p>
      <w:pPr>
        <w:spacing w:after="0" w:line="189" w:lineRule="exact"/>
        <w:rPr>
          <w:sz w:val="20"/>
          <w:szCs w:val="20"/>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is effected by present macroeconomic conditions including the ongoing pandemic, supply chain disruptions, the war in Ukraine and inflation. The impact of each of these items is volatile and continues to evolve. The extent of impact stemming from any individual factor or combination of factors on our operational and financial performance will depend in large part on future developments, which cannot be reasonably estimated at this time and could vary in scope and severity both individually and collectively based upon actions taken by governments and other entities to mitigate impacts both within and outside jurisdictions where we operate. For a more detailed discussion see Part I, Item 1 in our Annual Report on </w:t>
      </w:r>
      <w:hyperlink r:id="rId1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September 30, 2021 and "Management's Discussion and Analysis of Financial Condition and Results of Operations" in </w:t>
      </w:r>
      <w:r>
        <w:rPr>
          <w:rFonts w:ascii="Times New Roman" w:cs="Times New Roman" w:eastAsia="Times New Roman" w:hAnsi="Times New Roman"/>
          <w:sz w:val="18"/>
          <w:szCs w:val="18"/>
          <w:u w:val="single" w:color="auto"/>
          <w:color w:val="0000FF"/>
        </w:rPr>
        <w:t>Item 2</w:t>
      </w:r>
      <w:r>
        <w:rPr>
          <w:rFonts w:ascii="Times New Roman" w:cs="Times New Roman" w:eastAsia="Times New Roman" w:hAnsi="Times New Roman"/>
          <w:sz w:val="18"/>
          <w:szCs w:val="18"/>
          <w:color w:val="auto"/>
        </w:rPr>
        <w:t xml:space="preserve"> of this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October 2021,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This update requires entities to apply Topic 606 to recognize and measure contract assets and contract liabilities in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adopted this standard in the first quarter of fiscal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20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November 1, 2021, we acquired Ventus Networks, LLC ("Ventus") for approximately $350 million in cash. The acquisition was funded through a combination of cash on hand and debt financing under a $350 million credit facility committed by BMO Harris Bank N.A.</w:t>
      </w:r>
    </w:p>
    <w:p>
      <w:pPr>
        <w:spacing w:after="0" w:line="10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For tax purposes, this acquisition was treated as an asset acquisition. We believe this is a complementary acquisition for us as it significantly enhances our IoT Solutions segment by enhancing Digi's service portfolio and immediately extends the company's market reach with a Managed Network-as-a-Service ("MNaaS") solutions offering.</w:t>
      </w:r>
    </w:p>
    <w:p>
      <w:pPr>
        <w:spacing w:after="0" w:line="15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Costs directly related to the acquisition of $4.2 million incurred fiscal year to date 2022 have been charged to operations and are included in general and administrative expense in our condensed consolidated statements of operations. These acquisition costs include legal, accounting, valuation and investment banking fees.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Ventus assets acquired and liabilities assumed as of the acquisition date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r>
      <w:tr>
        <w:trPr>
          <w:trHeight w:val="230"/>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118,265</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condensed consolidated balance sheet as of June 30, 2022 reflects the preliminary allocation of the purchase price to the assets acquired and liabilities assumed based on their estimated fair values at the date of acquisition. This preliminary allocation was updated in the third fiscal quarter of 2022 to reflect information not available previously. The estimated fair value of the net assets acquired, liabilities assumed and identifiable intangible assets are preliminary and remain subject to change, as preliminary purchase price allocation has not yet been completed. Included in the fair value of net tangible assets acquired was $0.7 million of right-of-use asset included in other non-current assets and $0.7 million of lease liability included in other current liabilities and other non-current liabilities associated with Ventus’s operating leases.</w:t>
      </w:r>
    </w:p>
    <w:p>
      <w:pPr>
        <w:spacing w:after="0" w:line="1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preliminary weighted average useful life for all the identifiable intangibles listed above is estimated to be 19.2 years. For purposes of determining fair value, the existing customer relationships identified above are assumed to have a useful life of 20.5 years, purchased and core technology is assumed to have useful life of 11 years and trademarks are assumed a useful life of 13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assets are expected to be consumed.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pro forma information is presented as if the acquisition had occurred on October 1, 2020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4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(6,157)</w:t>
            </w:r>
          </w:p>
        </w:tc>
      </w:tr>
      <w:tr>
        <w:trPr>
          <w:trHeight w:val="21"/>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 forma net income has been adjusted to include interest expense related to debt incurred as a result of the acquisition, amortization on the fair value of the intangibles acquired and remove any costs incurred with the sale transaction. Net income for the nine months ended June 30, 2021 was adjusted to include acquisition-related costs of $3.1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1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340" w:type="dxa"/>
            <w:vAlign w:val="bottom"/>
            <w:gridSpan w:val="6"/>
          </w:tcPr>
          <w:p>
            <w:pPr>
              <w:ind w:left="5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00" w:type="dxa"/>
            <w:vAlign w:val="bottom"/>
          </w:tcPr>
          <w:p>
            <w:pPr>
              <w:spacing w:after="0"/>
              <w:rPr>
                <w:sz w:val="20"/>
                <w:szCs w:val="20"/>
                <w:color w:val="auto"/>
              </w:rPr>
            </w:pPr>
          </w:p>
        </w:tc>
        <w:tc>
          <w:tcPr>
            <w:tcW w:w="26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49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r>
      <w:tr>
        <w:trPr>
          <w:trHeight w:val="46"/>
        </w:trPr>
        <w:tc>
          <w:tcPr>
            <w:tcW w:w="49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9"/>
        </w:trPr>
        <w:tc>
          <w:tcPr>
            <w:tcW w:w="49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r>
      <w:tr>
        <w:trPr>
          <w:trHeight w:val="176"/>
        </w:trPr>
        <w:tc>
          <w:tcPr>
            <w:tcW w:w="4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Denominator for basic net income per common share —</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w:t>
            </w: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156"/>
        </w:trPr>
        <w:tc>
          <w:tcPr>
            <w:tcW w:w="492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per common share —</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77"/>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adjusted weighted average shares</w:t>
            </w:r>
          </w:p>
        </w:tc>
        <w:tc>
          <w:tcPr>
            <w:tcW w:w="9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35,740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35,148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35,740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32,706</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basic</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5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diluted</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excludes certain stock options and restricted stock unit awards that would have an anti-dilutive effect on our diluted net income per share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2022 and 2021, 939,101 and 994,096 shares outstanding were excluded, respectively.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 778,573 and 864,744 were excluded,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4. SELECTED BALANCE SHEET DATA</w:t>
            </w:r>
          </w:p>
        </w:tc>
        <w:tc>
          <w:tcPr>
            <w:tcW w:w="2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w:t>
            </w: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530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2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2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2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3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classified in the following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financial liabilities that are measured at fair value on a recurring basis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Total Fair</w:t>
            </w:r>
          </w:p>
        </w:tc>
        <w:tc>
          <w:tcPr>
            <w:tcW w:w="240" w:type="dxa"/>
            <w:vAlign w:val="bottom"/>
          </w:tcPr>
          <w:p>
            <w:pPr>
              <w:spacing w:after="0"/>
              <w:rPr>
                <w:sz w:val="17"/>
                <w:szCs w:val="17"/>
                <w:color w:val="auto"/>
              </w:rPr>
            </w:pPr>
          </w:p>
        </w:tc>
        <w:tc>
          <w:tcPr>
            <w:tcW w:w="2960" w:type="dxa"/>
            <w:vAlign w:val="bottom"/>
            <w:gridSpan w:val="6"/>
          </w:tcPr>
          <w:p>
            <w:pPr>
              <w:ind w:left="760"/>
              <w:spacing w:after="0"/>
              <w:rPr>
                <w:sz w:val="20"/>
                <w:szCs w:val="20"/>
                <w:color w:val="auto"/>
              </w:rPr>
            </w:pPr>
            <w:r>
              <w:rPr>
                <w:rFonts w:ascii="Times New Roman" w:cs="Times New Roman" w:eastAsia="Times New Roman" w:hAnsi="Times New Roman"/>
                <w:sz w:val="17"/>
                <w:szCs w:val="17"/>
                <w:color w:val="auto"/>
                <w:w w:val="98"/>
              </w:rPr>
              <w:t>Fair Value Measurements Using</w:t>
            </w:r>
          </w:p>
        </w:tc>
        <w:tc>
          <w:tcPr>
            <w:tcW w:w="1000" w:type="dxa"/>
            <w:vAlign w:val="bottom"/>
          </w:tcPr>
          <w:p>
            <w:pPr>
              <w:spacing w:after="0"/>
              <w:rPr>
                <w:sz w:val="17"/>
                <w:szCs w:val="17"/>
                <w:color w:val="auto"/>
              </w:rPr>
            </w:pPr>
          </w:p>
        </w:tc>
      </w:tr>
      <w:tr>
        <w:trPr>
          <w:trHeight w:val="223"/>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Value at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Inputs Considered as</w:t>
            </w:r>
          </w:p>
        </w:tc>
        <w:tc>
          <w:tcPr>
            <w:tcW w:w="1000" w:type="dxa"/>
            <w:vAlign w:val="bottom"/>
            <w:tcBorders>
              <w:bottom w:val="single" w:sz="8" w:color="auto"/>
            </w:tcBorders>
          </w:tcPr>
          <w:p>
            <w:pPr>
              <w:spacing w:after="0"/>
              <w:rPr>
                <w:sz w:val="19"/>
                <w:szCs w:val="19"/>
                <w:color w:val="auto"/>
              </w:rPr>
            </w:pPr>
          </w:p>
        </w:tc>
      </w:tr>
      <w:tr>
        <w:trPr>
          <w:trHeight w:val="226"/>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June 30, 2022</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2</w:t>
            </w:r>
          </w:p>
        </w:tc>
        <w:tc>
          <w:tcPr>
            <w:tcW w:w="440" w:type="dxa"/>
            <w:vAlign w:val="bottom"/>
          </w:tcPr>
          <w:p>
            <w:pPr>
              <w:spacing w:after="0"/>
              <w:rPr>
                <w:sz w:val="19"/>
                <w:szCs w:val="19"/>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Level 3</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6"/>
        </w:trPr>
        <w:tc>
          <w:tcPr>
            <w:tcW w:w="49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52"/>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49"/>
        </w:trPr>
        <w:tc>
          <w:tcPr>
            <w:tcW w:w="4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Total Fair</w:t>
            </w:r>
          </w:p>
        </w:tc>
        <w:tc>
          <w:tcPr>
            <w:tcW w:w="240" w:type="dxa"/>
            <w:vAlign w:val="bottom"/>
          </w:tcPr>
          <w:p>
            <w:pPr>
              <w:spacing w:after="0"/>
              <w:rPr>
                <w:sz w:val="21"/>
                <w:szCs w:val="21"/>
                <w:color w:val="auto"/>
              </w:rPr>
            </w:pPr>
          </w:p>
        </w:tc>
        <w:tc>
          <w:tcPr>
            <w:tcW w:w="2960" w:type="dxa"/>
            <w:vAlign w:val="bottom"/>
            <w:gridSpan w:val="6"/>
          </w:tcPr>
          <w:p>
            <w:pPr>
              <w:ind w:left="760"/>
              <w:spacing w:after="0"/>
              <w:rPr>
                <w:sz w:val="20"/>
                <w:szCs w:val="20"/>
                <w:color w:val="auto"/>
              </w:rPr>
            </w:pPr>
            <w:r>
              <w:rPr>
                <w:rFonts w:ascii="Times New Roman" w:cs="Times New Roman" w:eastAsia="Times New Roman" w:hAnsi="Times New Roman"/>
                <w:sz w:val="17"/>
                <w:szCs w:val="17"/>
                <w:color w:val="auto"/>
                <w:w w:val="98"/>
              </w:rPr>
              <w:t>Fair Value Measurements Using</w:t>
            </w:r>
          </w:p>
        </w:tc>
        <w:tc>
          <w:tcPr>
            <w:tcW w:w="1000" w:type="dxa"/>
            <w:vAlign w:val="bottom"/>
          </w:tcPr>
          <w:p>
            <w:pPr>
              <w:spacing w:after="0"/>
              <w:rPr>
                <w:sz w:val="21"/>
                <w:szCs w:val="21"/>
                <w:color w:val="auto"/>
              </w:rPr>
            </w:pPr>
          </w:p>
        </w:tc>
      </w:tr>
      <w:tr>
        <w:trPr>
          <w:trHeight w:val="222"/>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Value at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Inputs Considered as</w:t>
            </w:r>
          </w:p>
        </w:tc>
        <w:tc>
          <w:tcPr>
            <w:tcW w:w="1000" w:type="dxa"/>
            <w:vAlign w:val="bottom"/>
            <w:tcBorders>
              <w:bottom w:val="single" w:sz="8" w:color="auto"/>
            </w:tcBorders>
          </w:tcPr>
          <w:p>
            <w:pPr>
              <w:spacing w:after="0"/>
              <w:rPr>
                <w:sz w:val="19"/>
                <w:szCs w:val="19"/>
                <w:color w:val="auto"/>
              </w:rPr>
            </w:pPr>
          </w:p>
        </w:tc>
      </w:tr>
      <w:tr>
        <w:trPr>
          <w:trHeight w:val="221"/>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September 30, 2021</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Level 2</w:t>
            </w:r>
          </w:p>
        </w:tc>
        <w:tc>
          <w:tcPr>
            <w:tcW w:w="440" w:type="dxa"/>
            <w:vAlign w:val="bottom"/>
          </w:tcPr>
          <w:p>
            <w:pPr>
              <w:spacing w:after="0"/>
              <w:rPr>
                <w:sz w:val="19"/>
                <w:szCs w:val="19"/>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Level 3</w:t>
            </w:r>
          </w:p>
        </w:tc>
      </w:tr>
      <w:tr>
        <w:trPr>
          <w:trHeight w:val="21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6"/>
        </w:trPr>
        <w:tc>
          <w:tcPr>
            <w:tcW w:w="4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Contingent consideration on acquired business</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52"/>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measured at fair value</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our acquisition of Opengear, Inc. in December 2019, we agreed to make contingent payments, based upon certain revenue thresholds.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the final installment of $10.0 million during the second quarter of fiscal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Haxiot, Inc. ("Haxiot") in March 2021, we agreed to make contingent earn-out payments, based upon certain revenue thresholds. In the fiscal third quarter of fiscal 2021, the preliminary purchase price allocation was updated, including related determination of fair value and income tax implications. As a result, we reduced contingent consideration by $2.1 million in the third fiscal quarter of 2021. The fair value of the remaining liability for contingent consideration for the acquisition of Haxiot was $5.9 million at June 30, 2022.</w:t>
      </w:r>
    </w:p>
    <w:p>
      <w:pPr>
        <w:spacing w:after="0" w:line="139"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In connection with our acquisition of Ctek, Inc. ("Ctek") in July 2021, we agreed to make contingent earn-out payments, based upon certain revenue thresholds. The fair value of the remaining liability for contingent consideration for the acquisition of Ctek was $0.3 million at June 30, 2022.</w:t>
      </w:r>
    </w:p>
    <w:p>
      <w:pPr>
        <w:spacing w:after="0" w:line="9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contingent consideration liability measured at fair value on a recurring basis using significant unobservable inputs (Level 3)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306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51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recognized for acquired business</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consideration reflects our estimates of the probabilities of achieving the relevant targets and is discounted based on our estimated discount rate. The fair value of the contingent consideration at June 30, 2022 is based on the probability of achieving the specified revenue thresholds for Haxiot and Ctek.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740" w:firstLine="8"/>
        <w:spacing w:after="0" w:line="430"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NET Amortizable intangible assets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 2022</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September 30, 2021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rPr>
              <w:t>Accum.</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tcPr>
          <w:p>
            <w:pPr>
              <w:spacing w:after="0"/>
              <w:rPr>
                <w:sz w:val="15"/>
                <w:szCs w:val="15"/>
                <w:color w:val="auto"/>
              </w:rPr>
            </w:pPr>
          </w:p>
        </w:tc>
        <w:tc>
          <w:tcPr>
            <w:tcW w:w="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amount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69,162</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Amortization expense was $7.0 million and $4.1 million for the three months ended June 30, 2022 and 2021, respectively and $20.4 million and $12.0 million for the nine months ended June 30, 2022 and 2021, respectively. Amortization expense is recorded on our condensed consolidated statements of operations within cost of sales and in general and administrative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amortization expense related to intangible assets for the remainder of fiscal 2022 and the five succeeding fiscal years is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(three months)</w:t>
            </w:r>
          </w:p>
        </w:tc>
        <w:tc>
          <w:tcPr>
            <w:tcW w:w="4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24,996</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color w:val="auto"/>
                <w:w w:val="98"/>
              </w:rPr>
              <w:t>Nine months ended June 30, 2022</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78"/>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2"/>
          </w:tcPr>
          <w:p>
            <w:pPr>
              <w:jc w:val="center"/>
              <w:ind w:right="32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8"/>
                <w:szCs w:val="18"/>
                <w:color w:val="auto"/>
                <w:w w:val="99"/>
              </w:rPr>
              <w:t>IoT</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4"/>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Products and Services</w:t>
            </w:r>
          </w:p>
        </w:tc>
        <w:tc>
          <w:tcPr>
            <w:tcW w:w="3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20" w:type="dxa"/>
            <w:vAlign w:val="bottom"/>
          </w:tcPr>
          <w:p>
            <w:pPr>
              <w:spacing w:after="0"/>
              <w:rPr>
                <w:sz w:val="19"/>
                <w:szCs w:val="19"/>
                <w:color w:val="auto"/>
              </w:rPr>
            </w:pP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118,265</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June 30, 2022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341,708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Effective with the reorganization announcement on October 7, 2020, our IoT Products &amp; Services business is now structured to include four reporting units under the IoT Products &amp; Services segment, each with a reporting manager: Cellular Routers, Console Servers, OEM Solutions and Infrastructure Management. We had four reporting units along with our IoT Solutions segment that were tested individually for impairment during our third quarter fiscal 2021 annual impairment test. Following our acquisition of Ventus in November, 2021, we have two reporting units within our IoT Solutions segment in addition to the four reporting units included in IoT Products &amp; Services.</w:t>
      </w:r>
    </w:p>
    <w:p>
      <w:pPr>
        <w:spacing w:after="0" w:line="21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If our future operating results do not meet current forecasts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GOODWILL AND OTHER INTANGIBLE ASSETS, NET (CONTINUED)</w:t>
      </w:r>
    </w:p>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we experience a sustained decline in our market capitalization that is determined to be indicative of a reduction in fair value of one or more of our reporting units, we may be required to record future impairment charges for 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2022 Annual Impairment Test</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of June 30, 2022, we had a total of $32.7 million of goodwill for the Enterprise Routers reporting unit, $57.1 million of goodwill for the Console Servers reporting unit, $63.7 million of goodwill for the OEM Solutions reporting unit, $20.4 million of goodwill for the Infrastructure Management reporting unit, $49.5 million of goodwill for the SmartSense reporting unit and $118.3 million of goodwill for the Ventus. At June 30, 2022, the fair value of goodwill exceeded the carrying value for all six reporting units. SmartSense and Ventus fair values exceeded carrying values by less than 10%. Implied fair value for each reporting unit was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 total market capitalization of $852.0 million as of June 30, 2022. This implied a range of control (deficit)/ premiums of (5.6)% to 7.9%.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committed credit facilities ("Prior Credit Facility") consisting of a $200 million revolving loan.</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14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the December amendment,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Our weighted average interest rate at June 30, 2022 was 6.85%.</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2021 and December 22, 2021 amendments, respectively. These amounts will be amortized over the term of the amended loan and reported in interest expense.</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Term Loan is payable in quarterly installments, with the balance remaining due at November 2, 2028. The Revolving Loan is due in a lump sum payment at maturity on November 2, 2028, if any amounts are drawn. The fair value of the Term Loan and Revolving Loan approximated carrying value at June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made early payments against the term loan of $50 million in December 2021, $11.3 million in March 2022 and $20 million in June 2022.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6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INDEBTEDNESS (CONTINUED)</w:t>
            </w: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at June 30, 2022 and September 30, 2021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2"/>
        </w:trPr>
        <w:tc>
          <w:tcPr>
            <w:tcW w:w="1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Balance at September 30,</w:t>
            </w:r>
          </w:p>
        </w:tc>
      </w:tr>
      <w:tr>
        <w:trPr>
          <w:trHeight w:val="234"/>
        </w:trPr>
        <w:tc>
          <w:tcPr>
            <w:tcW w:w="12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Balance at June 30, 2022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48,118</w:t>
            </w:r>
          </w:p>
        </w:tc>
        <w:tc>
          <w:tcPr>
            <w:tcW w:w="40" w:type="dxa"/>
            <w:vAlign w:val="bottom"/>
            <w:shd w:val="clear" w:color="auto" w:fill="CCEEFF"/>
          </w:tcPr>
          <w:p>
            <w:pPr>
              <w:spacing w:after="0"/>
              <w:rPr>
                <w:sz w:val="19"/>
                <w:szCs w:val="19"/>
                <w:color w:val="auto"/>
              </w:rPr>
            </w:pPr>
          </w:p>
        </w:tc>
      </w:tr>
      <w:tr>
        <w:trPr>
          <w:trHeight w:val="229"/>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268,748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48,118</w:t>
            </w:r>
          </w:p>
        </w:tc>
        <w:tc>
          <w:tcPr>
            <w:tcW w:w="40" w:type="dxa"/>
            <w:vAlign w:val="bottom"/>
            <w:shd w:val="clear" w:color="auto" w:fill="CCEEFF"/>
          </w:tcPr>
          <w:p>
            <w:pPr>
              <w:spacing w:after="0"/>
              <w:rPr>
                <w:sz w:val="19"/>
                <w:szCs w:val="19"/>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40" w:type="dxa"/>
            <w:vAlign w:val="bottom"/>
          </w:tcPr>
          <w:p>
            <w:pPr>
              <w:spacing w:after="0"/>
              <w:rPr>
                <w:sz w:val="19"/>
                <w:szCs w:val="19"/>
                <w:color w:val="auto"/>
              </w:rPr>
            </w:pP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(2,319)</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240,702</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40" w:type="dxa"/>
            <w:vAlign w:val="bottom"/>
            <w:tcBorders>
              <w:bottom w:val="single" w:sz="8" w:color="auto"/>
            </w:tcBorders>
          </w:tcPr>
          <w:p>
            <w:pPr>
              <w:spacing w:after="0"/>
              <w:rPr>
                <w:sz w:val="19"/>
                <w:szCs w:val="19"/>
                <w:color w:val="auto"/>
              </w:rPr>
            </w:pPr>
          </w:p>
        </w:tc>
      </w:tr>
      <w:tr>
        <w:trPr>
          <w:trHeight w:val="21"/>
        </w:trPr>
        <w:tc>
          <w:tcPr>
            <w:tcW w:w="6780" w:type="dxa"/>
            <w:vAlign w:val="bottom"/>
            <w:gridSpan w:val="2"/>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47"/>
        </w:trPr>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is a summary of future maturities of our aggregate long-term debt at June 30, 2022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6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(three months)</w:t>
            </w:r>
          </w:p>
        </w:tc>
        <w:tc>
          <w:tcPr>
            <w:tcW w:w="14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40" w:type="dxa"/>
            <w:vAlign w:val="bottom"/>
          </w:tcPr>
          <w:p>
            <w:pPr>
              <w:spacing w:after="0"/>
              <w:rPr>
                <w:sz w:val="19"/>
                <w:szCs w:val="19"/>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2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40" w:type="dxa"/>
            <w:vAlign w:val="bottom"/>
          </w:tcPr>
          <w:p>
            <w:pPr>
              <w:spacing w:after="0"/>
              <w:rPr>
                <w:sz w:val="19"/>
                <w:szCs w:val="19"/>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176,873</w:t>
            </w:r>
          </w:p>
        </w:tc>
        <w:tc>
          <w:tcPr>
            <w:tcW w:w="40" w:type="dxa"/>
            <w:vAlign w:val="bottom"/>
          </w:tcPr>
          <w:p>
            <w:pPr>
              <w:spacing w:after="0"/>
              <w:rPr>
                <w:sz w:val="19"/>
                <w:szCs w:val="19"/>
                <w:color w:val="auto"/>
              </w:rPr>
            </w:pPr>
          </w:p>
        </w:tc>
      </w:tr>
      <w:tr>
        <w:trPr>
          <w:trHeight w:val="223"/>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268,748</w:t>
            </w:r>
          </w:p>
        </w:tc>
        <w:tc>
          <w:tcPr>
            <w:tcW w:w="40" w:type="dxa"/>
            <w:vAlign w:val="bottom"/>
          </w:tcPr>
          <w:p>
            <w:pPr>
              <w:spacing w:after="0"/>
              <w:rPr>
                <w:sz w:val="19"/>
                <w:szCs w:val="19"/>
                <w:color w:val="auto"/>
              </w:rPr>
            </w:pPr>
          </w:p>
        </w:tc>
      </w:tr>
      <w:tr>
        <w:trPr>
          <w:trHeight w:val="21"/>
        </w:trPr>
        <w:tc>
          <w:tcPr>
            <w:tcW w:w="12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agreements governing the Revolving Loan Facility contains a number of covenants. Among other provisions, these covenants require us to maintain a certain financial ratio (net leverage ratio and minimum fixed charge ratio). At June 30, 2022, we had no amounts drawn on the Revolving Loan Facility. Amounts borrowed under the Credit Facility are secured by substantially all of our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SEGMENT INFORMATION</w:t>
      </w:r>
    </w:p>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two reportable segments: IoT Products &amp; Services and IoT Solutions. Effective with the reorganization announcement on October 7, 2020, our IoT Products &amp; Services business is now structured to include four operating segments, each with a segment manager. These four operating segments include:</w:t>
      </w:r>
    </w:p>
    <w:p>
      <w:pPr>
        <w:spacing w:after="0" w:line="135"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 box devices (fully enclosed) that provide connectivity typically in a place where the device can be plugged in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 similar to cellular routers except they are exclusively for edge computing installations and data center applications (also exclusively using cellular communications).</w:t>
      </w:r>
    </w:p>
    <w:p>
      <w:pPr>
        <w:spacing w:after="0" w:line="134"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Solutions - Original Equipment Manufacturers ("OEM") will be a chip, rather than a boxed device. This can come in the form of a stand-alone module, or from a systems-on-module ("SOMs"). While cellular connectivity is used, other communication protocols can be used such as Zigbee, Bluetooth or Radio-Frequency ("RF") based on application.</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SEGMENT INFORMATION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of Ventus on November 1, 2021, IoT Solutions is now comprised of two operating segments:</w:t>
      </w:r>
    </w:p>
    <w:p>
      <w:pPr>
        <w:spacing w:after="0" w:line="185" w:lineRule="exact"/>
        <w:rPr>
          <w:sz w:val="20"/>
          <w:szCs w:val="20"/>
          <w:color w:val="auto"/>
        </w:rPr>
      </w:pPr>
    </w:p>
    <w:p>
      <w:pPr>
        <w:ind w:left="660" w:right="1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 offers wireless temperature and other condition-based monitoring services for perishable goods such as food or medicine, as well as employee task management services.</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Ventus - provides MNaaS solutions that simplify the complexity of enterprise wide area network ("WAN") connectivity via wireless and fixed line solutions.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CODM reviews and makes business decisions which includes a primary review of operating income but also includes gross profit. Following the October 2020 reorganization, the shared general and administrative costs began being allocated to each operating segment. As a result, our disclosed measure of segment operating income has been updated for all periods presented to conform with this change.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operating results for each of our segments were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23"/>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66,812</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 (loss)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IoT Solutions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Total expended for property, plant and equipment was (in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 June 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IoT Solutions*</w:t>
            </w:r>
          </w:p>
        </w:tc>
        <w:tc>
          <w:tcPr>
            <w:tcW w:w="5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Excluded from this amount is $1,742 and $1,624 of transfers of inventory to property plant and equipment for subscriber assets for the nine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jc w:val="center"/>
              <w:ind w:right="6680"/>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96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 SEGMENT INFORMATION (CONTINUED)</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(in thousands):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7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386,934</w:t>
            </w:r>
          </w:p>
        </w:tc>
      </w:tr>
      <w:tr>
        <w:trPr>
          <w:trHeight w:val="230"/>
        </w:trPr>
        <w:tc>
          <w:tcPr>
            <w:tcW w:w="40" w:type="dxa"/>
            <w:vAlign w:val="bottom"/>
          </w:tcPr>
          <w:p>
            <w:pPr>
              <w:spacing w:after="0"/>
              <w:rPr>
                <w:sz w:val="19"/>
                <w:szCs w:val="19"/>
                <w:color w:val="auto"/>
              </w:rPr>
            </w:pPr>
          </w:p>
        </w:tc>
        <w:tc>
          <w:tcPr>
            <w:tcW w:w="7920" w:type="dxa"/>
            <w:vAlign w:val="bottom"/>
            <w:gridSpan w:val="2"/>
          </w:tcPr>
          <w:p>
            <w:pPr>
              <w:jc w:val="center"/>
              <w:ind w:right="6680"/>
              <w:spacing w:after="0"/>
              <w:rPr>
                <w:sz w:val="20"/>
                <w:szCs w:val="20"/>
                <w:color w:val="auto"/>
              </w:rPr>
            </w:pPr>
            <w:r>
              <w:rPr>
                <w:rFonts w:ascii="Times New Roman" w:cs="Times New Roman" w:eastAsia="Times New Roman" w:hAnsi="Times New Roman"/>
                <w:sz w:val="18"/>
                <w:szCs w:val="18"/>
                <w:color w:val="auto"/>
              </w:rPr>
              <w:t>IoT Solutions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80,165</w:t>
            </w:r>
          </w:p>
        </w:tc>
      </w:tr>
      <w:tr>
        <w:trPr>
          <w:trHeight w:val="229"/>
        </w:trPr>
        <w:tc>
          <w:tcPr>
            <w:tcW w:w="40" w:type="dxa"/>
            <w:vAlign w:val="bottom"/>
          </w:tcPr>
          <w:p>
            <w:pPr>
              <w:spacing w:after="0"/>
              <w:rPr>
                <w:sz w:val="19"/>
                <w:szCs w:val="19"/>
                <w:color w:val="auto"/>
              </w:rPr>
            </w:pPr>
          </w:p>
        </w:tc>
        <w:tc>
          <w:tcPr>
            <w:tcW w:w="7920" w:type="dxa"/>
            <w:vAlign w:val="bottom"/>
            <w:gridSpan w:val="2"/>
            <w:shd w:val="clear" w:color="auto" w:fill="CCEEFF"/>
          </w:tcPr>
          <w:p>
            <w:pPr>
              <w:jc w:val="center"/>
              <w:ind w:right="6720"/>
              <w:spacing w:after="0"/>
              <w:rPr>
                <w:sz w:val="20"/>
                <w:szCs w:val="20"/>
                <w:color w:val="auto"/>
              </w:rPr>
            </w:pPr>
            <w:r>
              <w:rPr>
                <w:rFonts w:ascii="Times New Roman" w:cs="Times New Roman" w:eastAsia="Times New Roman" w:hAnsi="Times New Roman"/>
                <w:sz w:val="18"/>
                <w:szCs w:val="18"/>
                <w:color w:val="auto"/>
                <w:w w:val="99"/>
              </w:rPr>
              <w:t>Unallocated*</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152,432</w:t>
            </w:r>
          </w:p>
        </w:tc>
      </w:tr>
      <w:tr>
        <w:trPr>
          <w:trHeight w:val="223"/>
        </w:trPr>
        <w:tc>
          <w:tcPr>
            <w:tcW w:w="40" w:type="dxa"/>
            <w:vAlign w:val="bottom"/>
          </w:tcPr>
          <w:p>
            <w:pPr>
              <w:spacing w:after="0"/>
              <w:rPr>
                <w:sz w:val="19"/>
                <w:szCs w:val="19"/>
                <w:color w:val="auto"/>
              </w:rPr>
            </w:pPr>
          </w:p>
        </w:tc>
        <w:tc>
          <w:tcPr>
            <w:tcW w:w="7920" w:type="dxa"/>
            <w:vAlign w:val="bottom"/>
            <w:gridSpan w:val="2"/>
          </w:tcPr>
          <w:p>
            <w:pPr>
              <w:jc w:val="center"/>
              <w:ind w:right="6680"/>
              <w:spacing w:after="0"/>
              <w:rPr>
                <w:sz w:val="20"/>
                <w:szCs w:val="20"/>
                <w:color w:val="auto"/>
              </w:rPr>
            </w:pPr>
            <w:r>
              <w:rPr>
                <w:rFonts w:ascii="Times New Roman" w:cs="Times New Roman" w:eastAsia="Times New Roman" w:hAnsi="Times New Roman"/>
                <w:sz w:val="18"/>
                <w:szCs w:val="18"/>
                <w:color w:val="auto"/>
                <w:w w:val="99"/>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619,531</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167,406</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w:t>
            </w:r>
          </w:p>
        </w:tc>
      </w:tr>
      <w:tr>
        <w:trPr>
          <w:trHeight w:val="223"/>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79,079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229,526</w:t>
            </w:r>
          </w:p>
        </w:tc>
      </w:tr>
      <w:tr>
        <w:trPr>
          <w:trHeight w:val="20"/>
        </w:trPr>
        <w:tc>
          <w:tcPr>
            <w:tcW w:w="4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203,665</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25,861</w:t>
            </w:r>
          </w:p>
        </w:tc>
      </w:tr>
      <w:tr>
        <w:trPr>
          <w:trHeight w:val="248"/>
        </w:trPr>
        <w:tc>
          <w:tcPr>
            <w:tcW w:w="4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Contract assets consist of subscriber assets. These subscriber assets relate to fees in certain contracts that we charge our customers so they can begin using equipment. In these cases, we retain the ownership of the equipment that the customer uses. The total net book value of subscriber assets of $15.8 million and $1.9 million as of June 30, 2022 and September 30, 2021, respectively, are included in property, equipment and improvements, net. The June 30, 2022 balance includes $14.1 million acquired in the acquisition of Ventus. Depreciation expense for these subscriber assets, which is included in cost of sales, was $0.4 million and $0.5 million for the three months ended June 30, 2022 and June 30, 2021, respectively and $2.3 million and $1.4 million for the nine months ended June 30, 2022 and June 30, 2021, respectively. We depreciate the cost of this equipment over its useful life.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REVENUE (CONTINUED)</w:t>
      </w:r>
    </w:p>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contract liabilities were $22.6 million and $14.8 million at June 30, 2022 and 2021, respectively. The June 30, 2022 balance includes $2.1 million assumed from the Ventus acquisition completed in November 2021.</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Of the $24.8 million and $16.4 million balances as of March 31, 2022 and 2021, Digi recognized $5.4 million and $4.8 million in the three months ended June 30, 2022 and 2021, respectively. Of the $15.5 million and $9.3 million balances as of September 30, 2021 and 2020, Digi recognized $12.0 million and $8.3 million in the nine months ended June 30, 2022 and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Transaction Price</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represents contracted revenue that has not been recognized. This includes unearned revenue and unbilled amounts that will be recognized as revenue in future periods. As of June 30, 2022, approximately $22.6 million of revenue is expected to be recognized from remaining performance obligations. We expect to recognize revenue on approximately $18.2 million of remaining performance obligations over the next twelve months. Revenue from the remaining performance obligations we expect to recognize over a range of two to seven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INCOME TAXES</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income tax benefit was $1.5 million for the nine months ended June 30, 2022. Included in this benefit was a net tax benefit discretely related to the nine months ended June 30, 2022 of $2.7 million. This benefit primarily was the result of excess tax benefits recognized on stock compensation.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Income tax expense was $0.2 million for the nine months ended June 30, 2021. Included in this expense was a net tax benefit discretely related to the nine months ended June 30, 2021 of $1.0 million. This benefit primarily was the result of excess tax benefits recognized on stock compensation.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effective tax rate will vary based on a variety of factors. These include our overall profitability, the geographical mix of income before taxes and related statutory tax rate in each jurisdiction, and tax items discretely related to the period, such as settlements of audits. We may record other benefits or expenses in the future that are specific to a particular quarter such as expiration of statutes of limitation, the completion of tax audits, or legislation that is enacted in both U.S. and foreign jurisdictions.</w:t>
      </w:r>
    </w:p>
    <w:p>
      <w:pPr>
        <w:sectPr>
          <w:pgSz w:w="11900" w:h="16838" w:orient="portrait"/>
          <w:cols w:equalWidth="0" w:num="1">
            <w:col w:w="11180"/>
          </w:cols>
          <w:pgMar w:left="320" w:top="121" w:right="39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Unrecognized tax benefits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Prior year income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Unrecognized tax benefits as of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760" w:hanging="751"/>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2,908</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31" w:lineRule="exact"/>
        <w:rPr>
          <w:sz w:val="20"/>
          <w:szCs w:val="20"/>
          <w:color w:val="auto"/>
        </w:rPr>
      </w:pPr>
    </w:p>
    <w:p>
      <w:pPr>
        <w:ind w:left="760" w:hanging="751"/>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886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60" w:space="720"/>
            <w:col w:w="1200"/>
          </w:cols>
          <w:pgMar w:left="320" w:top="121" w:right="399" w:bottom="1440" w:gutter="0" w:footer="0" w:header="0"/>
          <w:type w:val="continuous"/>
        </w:sectPr>
      </w:pPr>
    </w:p>
    <w:p>
      <w:pPr>
        <w:spacing w:after="0" w:line="1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June 30, 2022 that, if recognized, would affect our effective tax rate was $2.7 million, after considering the impact of interest and deferred benefit items. We expect that the total amount of unrecognized tax benefits will decrease by approximately $0.7 million over the next 12 months.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PRODUCT WARRANTY OBLIGATION</w:t>
      </w:r>
    </w:p>
    <w:p>
      <w:pPr>
        <w:spacing w:after="0" w:line="19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following tables summarize the activity associated with the product warranty accrual (in thousands) and is included on our condensed consolidated balance sheets within current liabilities: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Warranties</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Settlements</w:t>
            </w:r>
          </w:p>
        </w:tc>
        <w:tc>
          <w:tcPr>
            <w:tcW w:w="22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6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April 1</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issued</w:t>
            </w: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made</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June 30</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530"/>
        </w:trPr>
        <w:tc>
          <w:tcPr>
            <w:tcW w:w="4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Balance at</w:t>
            </w: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Warranties</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Settlements</w:t>
            </w:r>
          </w:p>
        </w:tc>
        <w:tc>
          <w:tcPr>
            <w:tcW w:w="220" w:type="dxa"/>
            <w:vAlign w:val="bottom"/>
          </w:tcPr>
          <w:p>
            <w:pPr>
              <w:spacing w:after="0"/>
              <w:rPr>
                <w:sz w:val="24"/>
                <w:szCs w:val="24"/>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66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October 1</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issued</w:t>
            </w: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made</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June 30</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June 30,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June 30,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LEASES</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twelve months, the related lease assets and lease liabilities are recognized on the condensed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expected term of twelve months or less are not recorded on the condensed consolidated balance sheets. Instead we recognize lease expense for these leases on a straight-line basis over the lease term.</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 we generally do not include options to extend or terminate the lease unless it is reasonably certain that the option will be exercised.</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30, 2022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2021</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6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0" w:type="dxa"/>
            <w:vAlign w:val="bottom"/>
          </w:tcPr>
          <w:p>
            <w:pPr>
              <w:spacing w:after="0"/>
              <w:rPr>
                <w:sz w:val="1"/>
                <w:szCs w:val="1"/>
                <w:color w:val="auto"/>
              </w:rPr>
            </w:pPr>
          </w:p>
        </w:tc>
      </w:tr>
      <w:tr>
        <w:trPr>
          <w:trHeight w:val="248"/>
        </w:trPr>
        <w:tc>
          <w:tcPr>
            <w:tcW w:w="2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6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0" w:type="dxa"/>
            <w:vAlign w:val="bottom"/>
          </w:tcPr>
          <w:p>
            <w:pPr>
              <w:spacing w:after="0"/>
              <w:rPr>
                <w:sz w:val="1"/>
                <w:szCs w:val="1"/>
                <w:color w:val="auto"/>
              </w:rPr>
            </w:pP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4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LEASES (CONTINUED)</w:t>
      </w:r>
    </w:p>
    <w:p>
      <w:pPr>
        <w:spacing w:after="0" w:line="15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r>
      <w:tr>
        <w:trPr>
          <w:trHeight w:val="20"/>
        </w:trPr>
        <w:tc>
          <w:tcPr>
            <w:tcW w:w="47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85"/>
        </w:trPr>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47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acquired in Ventus acquisition</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tenant improvement allowance</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4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June 30, 2022 the weighted average remaining lease term of our operating leases was 8.6 years and the weighted average discount rate for these leases was 2.8%.</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condensed consolidated balance sheet as of June 30, 2022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(three months)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29"/>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w:t>
            </w:r>
          </w:p>
        </w:tc>
      </w:tr>
      <w:tr>
        <w:trPr>
          <w:trHeight w:val="230"/>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19,813</w:t>
            </w:r>
          </w:p>
        </w:tc>
      </w:tr>
      <w:tr>
        <w:trPr>
          <w:trHeight w:val="21"/>
        </w:trPr>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COMMITMENTS AND CONTINGENCIES</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presently, and expect in the future to be, subject to various claims and litigation with third parties such as non-practicing intellectual property entities as well as customers, vendors and/or former employees. There can be no assurance that any claims by third parties, if proven to have merit, will not materially adversely affect our business,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Stock-based awards were granted under the 2021 Omnibus Incentive Plan (as amended and restated, the "2021 Plan") beginning January 29, 2021. Prior to that date, such awards made in fiscal 2021 were granted under the 2020 Omnibus Incentive Plan (the "2020 Plan"). Upon stockholder approval of the 2021 Plan on January 29, 2021, we ceased granting awards under the 2020 Plan. On January 28, 2022, the stockholders approved the amendment and restatement of the 2021 Plan. Shares subject to awards under the 2020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2021 Plan authorizes the issuance of up to 2,400,000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2021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2021 Plan is scheduled to expire on January 28, 2032. Options under the 2021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 settlement of vested restricted stock units or performance stock units, we issue new shares of stock. As of June 30, 2022, there were approximately 1,757,566 shares available for future grants under the 2021 Plan.</w:t>
      </w:r>
    </w:p>
    <w:p>
      <w:pPr>
        <w:spacing w:after="0" w:line="16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Cash received from the exercise of stock options was $6.7 million and $7.0 million for the nine months ended June 30, 2022 and June 30, 2021, respectively.</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When employees make this election, we retain a portion of shares issuable under the award. Tax withholding obligations are otherwise fulfilled by the employee paying cash to us for the withholding. During the nine months ended June 30, 2022 and 2021, our employees forfeited 96,860 shares and 109,516 shares, respectively, in order to satisfy respective withholding tax obligations of $2.2 million and $2.0 million, respectively.</w:t>
      </w:r>
    </w:p>
    <w:p>
      <w:pPr>
        <w:spacing w:after="0" w:line="14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October 29, 2013, December 4, 2009 and November 27, 2006 (the "ESPP"), covering all domestic employees with at least 90 days of continuous service and who are customarily employed at least 20 hours per week. The ESPP allows eligible participants the right to purchase common stock on a quarterly basis at the lower of 85% of the market price at the beginning or end of each three-month offering period. The most recent amendments to the ESPP, ratified by our stockholders on January 29, 2020, increased the total number of shares to 3,425,000 that may be purchased under the plan. ESPP contributions by employees were $1.1 million and $0.9 million for the nine months ended June 30, 2022 and June 30, 2021, respectively. Pursuant to the ESPP, 60,481 and 61,302 common shares were issued to employees during the nine months ended June 30, 2022 and June 30, 2021, respectively. Shares are issued under the ESPP from treasury stock. As of June 30, 2022, 572,592 common shares were available for future issuances under the ESPP.</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stock-based compensation expense that is included in the consolidated results of operations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45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2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48"/>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(in thousands, except per common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Options</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7"/>
                <w:szCs w:val="17"/>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Contractual Term (in</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Exercise Price</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years)</w:t>
            </w:r>
          </w:p>
        </w:tc>
        <w:tc>
          <w:tcPr>
            <w:tcW w:w="1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June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60" w:firstLine="8"/>
        <w:spacing w:after="0" w:line="266"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$24.22 as of June 30, 2022, which would have been received by the option holders had all option holders exercised their options as of that date. The intrinsic value of an option is the amount by which the fair value of the underlying stock exceeds its exercise price.</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total intrinsic value of all options exercised during the nine months ended June 30, 2022 was $15.6 million and during the nine months ended June 30, 2021 was $5.4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372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color w:val="auto"/>
              </w:rPr>
              <w:t>Nine months ended June 30,</w:t>
            </w:r>
          </w:p>
        </w:tc>
      </w:tr>
      <w:tr>
        <w:trPr>
          <w:trHeight w:val="223"/>
        </w:trPr>
        <w:tc>
          <w:tcPr>
            <w:tcW w:w="75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- 3.00%</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0.51% - 1.035%</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6.00 years</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 - 46%</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 - 46%</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June 30, 2022, the total unrecognized compensation cost related to non-vested stock options was $8.0 million and the related weighted average period over which it is expected to be recognized is approximately 1.5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Stock Units</w:t>
      </w:r>
    </w:p>
    <w:p>
      <w:pPr>
        <w:spacing w:after="0" w:line="20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and performance stock units as of June 30, 2022 and changes during the nine months then ended (in thousands, except per common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tcBorders>
              <w:bottom w:val="single" w:sz="8" w:color="auto"/>
            </w:tcBorders>
          </w:tcPr>
          <w:p>
            <w:pPr>
              <w:spacing w:after="0"/>
              <w:rPr>
                <w:sz w:val="20"/>
                <w:szCs w:val="20"/>
                <w:color w:val="auto"/>
              </w:rPr>
            </w:pPr>
          </w:p>
        </w:tc>
      </w:tr>
      <w:tr>
        <w:trPr>
          <w:trHeight w:val="178"/>
        </w:trPr>
        <w:tc>
          <w:tcPr>
            <w:tcW w:w="3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Weighted Average Grant</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Weighted Average Grant</w:t>
            </w:r>
          </w:p>
        </w:tc>
      </w:tr>
      <w:tr>
        <w:trPr>
          <w:trHeight w:val="234"/>
        </w:trPr>
        <w:tc>
          <w:tcPr>
            <w:tcW w:w="396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of Awards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Date Fair Value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Date Fair Value</w:t>
            </w: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2021</w:t>
            </w:r>
          </w:p>
        </w:tc>
        <w:tc>
          <w:tcPr>
            <w:tcW w:w="152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7"/>
              </w:rPr>
              <w:t>(290)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7"/>
              </w:rPr>
              <w:t>(130)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520" w:type="dxa"/>
            <w:vAlign w:val="bottom"/>
            <w:tcBorders>
              <w:bottom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rPr>
              <w:t>769</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June 30, 2022, the total unrecognized compensation cost related to non-vested stock units was $11.6 million. The related weighted average period over which this cost is expected to be recognized is approximately 2.4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Annual Report on Form 10-K for the fiscal year ended September 30, 2021, as well as our subsequent reports on Form 10-Q and Form 8-K and any amendments to these reports.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"assume," "believe," "anticipate," "intend," "estimate," "target," "may," "will," "expect," "plan," "potential," "project," "should," or "continue," or the negative thereof or other variations thereon or similar terminology.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supply chain and transportation challenges impacting businesses globally, the ongoing COVID-19 pandemic and efforts to mitigate the same, risks related to ongoing inflationary pressures as well as present concerns about a potential recession and the ability of companies like us to operate a global business in such conditions, risks arising from the present war in Ukraine,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such as our recently completed acquisition of Ventus, our ability to defend or settle satisfactorily any litigation,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the ability to achieve the anticipated benefits and synergies associated with acquisitions or divestitures and changes in our level of revenue or profitability which can fluctuate for many reasons beyond our control.</w:t>
      </w:r>
    </w:p>
    <w:p>
      <w:pPr>
        <w:spacing w:after="0" w:line="1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our Annual Report on Form 10-K for the year ended September 30, 2021, this filing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accounting principles generally accepted in the United States of America. The preparation of our condensed consolidated financial statements requires us to make estimates and judgments that affect the reported amounts of assets, liabilities, revenues and expenses, the disclosure of contingent assets and liabilities and the values of purchased assets and assumed liabilities in acquisitions.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description of our critical accounting policies and estimates was provided in the Management's Discussion and Analysis of Financial Condition and Results of Operations section of our Annual Report on Form 10-K for the fiscal year ended September 30,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2022 Annual Impairment Test</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goodwill impairment test as of June 30, 2022 indicated no impairment. SmartSense and Ventus fair values exceeded carrying values by less than 10%. We will continue to monitor potential impacts that could potentially affect our cash flows and market capitalization. 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0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IoT Products &amp; Services segment offers products and services that help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 In the past this segment has benefited from significant one-time project based deployments. During the pandemic we saw a decrease in proposals for such projects. Recently we have seen some resumption of opportunities to make these project based sales, most notably in the areas mass transit and smart cities. While there is no assurance we will be chosen for any such deployments, we view this renewed activity as a positive development for this segment. Demand generally has been strong for many products in this segment during fiscal 2022 and has driven record sales bookings and backlogs that we are constrained to meet at present because of supply chain challenges.</w:t>
      </w:r>
    </w:p>
    <w:p>
      <w:pPr>
        <w:spacing w:after="0" w:line="1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7, 2020, our Board of Directors approved a reorganization of our IoT Products &amp; Services business segment. The restructuring plan aligned the business segment's organization around product lines, each with a segment manager. Under this plan, we recorded charges of $1.0 million for employee termination charges and eliminated 19 employment positions primarily in the U.S. during the first half of fiscal 2021. We have grouped our products under the following categories: Cellular Routers, Console Servers, OEM Solutions and Infrastructure Management. Consequently, the measure of segment operating profit used by our chief operating decision maker ("CODM") changed. As a result, our disclosed measure of segment operating income has been updated. For further detail on segment performance, see the Revenue by Segment, Cost of Goods Sold and Gross Profit by Segment and Operating Income sections of this Item 2.</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IoT Solutions segment primarily consists of our SmartSense by Digi® and Ventus operating segments. SmartSense offers wireless temperature and other condition-based monitoring services as well as employee task management services. These solutions are focused on the following vertical markets: food service, healthcare (primarily pharmacies and hospitals) and supply chain. We initially formed, expanded and enhanced our SmartSense by Digi business through four acquisitions. Our recent acquisition of Ventus makes us a leader in the provision of MNaaS solutions that simplify the complexity of enterprise wide area network WAN connectivity for our customers and provides us with a significant base of high margin subscription based recurring revenue. Ventus’s portfolio includes cellular wireless and fixed line WAN solutions for an array of connectivity applications in banking, healthcare, retail, gaming, hospitality and other sectors. Given our belief in the potential of this segment, we are making targeted investments in this segment designed to enhance its performance over time.</w:t>
      </w:r>
    </w:p>
    <w:p>
      <w:pPr>
        <w:spacing w:after="0" w:line="1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compete for customers on the basis of existing and planned product features, service and software application capabilities, company reputation, brand recognition, technical support, alliance relationships, quality and reliability, product development capabilities, price and availability.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2022, our key operating objectives include:</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Ventus businesses that are the base of our IoT Solutions segment;</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growth within our IoT Products &amp; Services segment through new product introductions;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our recently acquired Ventus business.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the third quarter of fiscal 2022 that we feel are most important in these evaluations, with comparisons to the third quarter of fiscal 2021:</w:t>
      </w:r>
    </w:p>
    <w:p>
      <w:pPr>
        <w:spacing w:after="0" w:line="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$104 million, an increase of 31%.</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$57.4 million, an increase of 35%.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was $10.0 million, an increase of 148%.</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55.5% versus 53.8%. Gross profit margin excluding amortization was 56.7% compared to 55.2%.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income was $4.1 million, an increase of 31%.</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$0.12, compared to $0.09, an increase of 33%.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EBITDA was $21 million, an increase of 82%.</w:t>
      </w:r>
    </w:p>
    <w:p>
      <w:pPr>
        <w:spacing w:after="0" w:line="117" w:lineRule="exact"/>
        <w:rPr>
          <w:rFonts w:ascii="Times New Roman" w:cs="Times New Roman" w:eastAsia="Times New Roman" w:hAnsi="Times New Roman"/>
          <w:sz w:val="18"/>
          <w:szCs w:val="18"/>
          <w:i w:val="1"/>
          <w:iCs w:val="1"/>
          <w:color w:val="auto"/>
        </w:rPr>
      </w:pPr>
    </w:p>
    <w:p>
      <w:pPr>
        <w:ind w:left="660" w:right="4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net income per share was $15.9 million, or $0.45 per diluted share, compared to $8.7 million, or $0.25 per diluted share, an increase of 80%.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 Impacting Third Quarter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On November 1, 2021, we acquired Ventus for approximately $350 million in cash. The acquisition was funded through a combination of cash on hand and debt financing under an amended and restated credit facility committed by BMO Harris Bank N.A.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In the first quarter of fiscal 2022, the preliminary purchase price allocation was recorded, including related determinations of fair value and income tax implications. In the third quarter of fiscal 2022, we recorded a purchase price allocation adjustment to adjust for new information. As a result, we have $118 million of goodwill and $211 million of other intangibles on our condensed consolidated balance sheets at June 30, 2022. The results of operations following the acquisition date are now included in our 2022 results within our IoT Solutions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information derived from our interim condensed consolidated statements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 incr.</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color w:val="auto"/>
              </w:rPr>
              <w:t>Nine months ended June 30,</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 incr.</w:t>
            </w:r>
          </w:p>
        </w:tc>
        <w:tc>
          <w:tcPr>
            <w:tcW w:w="0" w:type="dxa"/>
            <w:vAlign w:val="bottom"/>
          </w:tcPr>
          <w:p>
            <w:pPr>
              <w:spacing w:after="0"/>
              <w:rPr>
                <w:sz w:val="1"/>
                <w:szCs w:val="1"/>
                <w:color w:val="auto"/>
              </w:rPr>
            </w:pPr>
          </w:p>
        </w:tc>
      </w:tr>
      <w:tr>
        <w:trPr>
          <w:trHeight w:val="23"/>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(decr.)</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190"/>
        </w:trPr>
        <w:tc>
          <w:tcPr>
            <w:tcW w:w="1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2022</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103,517</w:t>
            </w: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79,079</w:t>
            </w: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282,487</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229,526</w:t>
            </w: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46,091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46.2</w:t>
            </w:r>
          </w:p>
        </w:tc>
        <w:tc>
          <w:tcPr>
            <w:tcW w:w="100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125,196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105,495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46.0</w:t>
            </w:r>
          </w:p>
        </w:tc>
        <w:tc>
          <w:tcPr>
            <w:tcW w:w="104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53.8</w:t>
            </w:r>
          </w:p>
        </w:tc>
        <w:tc>
          <w:tcPr>
            <w:tcW w:w="10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54.0</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38,538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48.7</w:t>
            </w:r>
          </w:p>
        </w:tc>
        <w:tc>
          <w:tcPr>
            <w:tcW w:w="100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135,954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116,789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50.9</w:t>
            </w:r>
          </w:p>
        </w:tc>
        <w:tc>
          <w:tcPr>
            <w:tcW w:w="104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w:t>
            </w:r>
          </w:p>
        </w:tc>
        <w:tc>
          <w:tcPr>
            <w:tcW w:w="10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22"/>
        </w:trPr>
        <w:tc>
          <w:tcPr>
            <w:tcW w:w="13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Income before income</w:t>
            </w: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4.5</w:t>
            </w:r>
          </w:p>
        </w:tc>
        <w:tc>
          <w:tcPr>
            <w:tcW w:w="100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5,998</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104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w:t>
            </w:r>
          </w:p>
        </w:tc>
        <w:tc>
          <w:tcPr>
            <w:tcW w:w="2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0.5</w:t>
            </w:r>
          </w:p>
        </w:tc>
        <w:tc>
          <w:tcPr>
            <w:tcW w:w="10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CCEEFF"/>
            </w:tcBorders>
            <w:gridSpan w:val="2"/>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 incr.</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jc w:val="right"/>
              <w:ind w:right="968"/>
              <w:spacing w:after="0"/>
              <w:rPr>
                <w:sz w:val="20"/>
                <w:szCs w:val="20"/>
                <w:color w:val="auto"/>
              </w:rPr>
            </w:pPr>
            <w:r>
              <w:rPr>
                <w:rFonts w:ascii="Times New Roman" w:cs="Times New Roman" w:eastAsia="Times New Roman" w:hAnsi="Times New Roman"/>
                <w:sz w:val="14"/>
                <w:szCs w:val="14"/>
                <w:color w:val="auto"/>
              </w:rPr>
              <w:t>Nine months ended June 30,</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(decr.)</w:t>
            </w: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2021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90"/>
        </w:trPr>
        <w:tc>
          <w:tcPr>
            <w:tcW w:w="1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77.0 %</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84.5 %</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19.4 %</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216,872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76.8 %</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84.6 %</w:t>
            </w:r>
          </w:p>
        </w:tc>
        <w:tc>
          <w:tcPr>
            <w:tcW w:w="0" w:type="dxa"/>
            <w:vAlign w:val="bottom"/>
          </w:tcPr>
          <w:p>
            <w:pPr>
              <w:spacing w:after="0"/>
              <w:rPr>
                <w:sz w:val="1"/>
                <w:szCs w:val="1"/>
                <w:color w:val="auto"/>
              </w:rPr>
            </w:pPr>
          </w:p>
        </w:tc>
      </w:tr>
      <w:tr>
        <w:trPr>
          <w:trHeight w:val="203"/>
        </w:trPr>
        <w:tc>
          <w:tcPr>
            <w:tcW w:w="1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15.5</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65,615</w:t>
            </w:r>
          </w:p>
        </w:tc>
        <w:tc>
          <w:tcPr>
            <w:tcW w:w="10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35,302</w:t>
            </w:r>
          </w:p>
        </w:tc>
        <w:tc>
          <w:tcPr>
            <w:tcW w:w="10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103,517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79,079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30.9 %</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282,487</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229,526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9" w:hanging="149"/>
        <w:spacing w:after="0"/>
        <w:tabs>
          <w:tab w:leader="none" w:pos="14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w:t>
      </w:r>
    </w:p>
    <w:p>
      <w:pPr>
        <w:spacing w:after="0" w:line="55" w:lineRule="exact"/>
        <w:rPr>
          <w:rFonts w:ascii="Times New Roman" w:cs="Times New Roman" w:eastAsia="Times New Roman" w:hAnsi="Times New Roman"/>
          <w:sz w:val="14"/>
          <w:szCs w:val="14"/>
          <w:color w:val="auto"/>
        </w:rPr>
      </w:pPr>
    </w:p>
    <w:p>
      <w:pPr>
        <w:ind w:left="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w:t>
      </w:r>
    </w:p>
    <w:p>
      <w:pPr>
        <w:spacing w:after="0" w:line="2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11.7</w:t>
      </w:r>
    </w:p>
    <w:p>
      <w:pPr>
        <w:spacing w:after="0" w:line="4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4"/>
          <w:szCs w:val="14"/>
          <w:color w:val="auto"/>
        </w:rPr>
        <w:t>85.9</w:t>
      </w:r>
    </w:p>
    <w:p>
      <w:pPr>
        <w:spacing w:after="0" w:line="82" w:lineRule="exact"/>
        <w:rPr>
          <w:sz w:val="20"/>
          <w:szCs w:val="20"/>
          <w:color w:val="auto"/>
        </w:rPr>
      </w:pPr>
    </w:p>
    <w:p>
      <w:pPr>
        <w:ind w:left="269"/>
        <w:spacing w:after="0"/>
        <w:rPr>
          <w:sz w:val="20"/>
          <w:szCs w:val="20"/>
          <w:color w:val="auto"/>
        </w:rPr>
      </w:pPr>
      <w:r>
        <w:rPr>
          <w:rFonts w:ascii="Times New Roman" w:cs="Times New Roman" w:eastAsia="Times New Roman" w:hAnsi="Times New Roman"/>
          <w:sz w:val="14"/>
          <w:szCs w:val="14"/>
          <w:color w:val="auto"/>
        </w:rPr>
        <w:t>23.1</w:t>
      </w:r>
    </w:p>
    <w:p>
      <w:pPr>
        <w:spacing w:after="0" w:line="205" w:lineRule="exact"/>
        <w:rPr>
          <w:sz w:val="20"/>
          <w:szCs w:val="20"/>
          <w:color w:val="auto"/>
        </w:rPr>
      </w:pPr>
    </w:p>
    <w:p>
      <w:pPr>
        <w:sectPr>
          <w:pgSz w:w="11900" w:h="16838" w:orient="portrait"/>
          <w:cols w:equalWidth="0" w:num="2">
            <w:col w:w="10380" w:space="271"/>
            <w:col w:w="569"/>
          </w:cols>
          <w:pgMar w:left="320" w:top="297" w:right="3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20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IoT Products &amp; Services revenue increased 19.4% and 11.7% for the three and nine months ended June 30, 2022, respectively, as compared to the same periods in the prior fiscal year. This primarily was a result of:</w:t>
      </w:r>
    </w:p>
    <w:p>
      <w:pPr>
        <w:spacing w:after="0" w:line="54" w:lineRule="exact"/>
        <w:rPr>
          <w:sz w:val="20"/>
          <w:szCs w:val="20"/>
          <w:color w:val="auto"/>
        </w:rPr>
      </w:pPr>
    </w:p>
    <w:p>
      <w:pPr>
        <w:ind w:left="660" w:right="7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console server and cellular products in both periods driven by demand for data center and edge based deployments and increased OEM sales in the third quarter.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partially offset by:</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infrastructure management products, driven by supply chain challenges.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20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IoT Solutions revenue increased 93.7% and 85.9% for the three and nine months ended June 30, 2022, respectively, as compared to the same periods in the prior fiscal year. This primarily was a result of:</w:t>
      </w:r>
    </w:p>
    <w:p>
      <w:pPr>
        <w:spacing w:after="0" w:line="54" w:lineRule="exact"/>
        <w:rPr>
          <w:sz w:val="20"/>
          <w:szCs w:val="20"/>
          <w:color w:val="auto"/>
        </w:rPr>
      </w:pPr>
    </w:p>
    <w:p>
      <w:pPr>
        <w:ind w:right="5080" w:firstLine="332"/>
        <w:spacing w:after="0" w:line="375" w:lineRule="auto"/>
        <w:tabs>
          <w:tab w:leader="none" w:pos="643"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increased recurring revenue from our November 2021 acquisition of Ventus. These increases were partially offset by:</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one-time customer implementation sales, due to significant activity from a few large customers in 2021 that did not recur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Basis point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color w:val="auto"/>
              </w:rPr>
              <w:t>Nine months ended June 30,</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inc. (decr.)</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90"/>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2021</w:t>
            </w: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37,115</w:t>
            </w:r>
          </w:p>
        </w:tc>
        <w:tc>
          <w:tcPr>
            <w:tcW w:w="3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46.5 %</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30,006</w:t>
            </w:r>
          </w:p>
        </w:tc>
        <w:tc>
          <w:tcPr>
            <w:tcW w:w="3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44.9 %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100,093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46.2 %</w:t>
            </w:r>
          </w:p>
        </w:tc>
        <w:tc>
          <w:tcPr>
            <w:tcW w:w="2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87,282</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44.9 %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IoT Solutions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8,976</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37.8 %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6,517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53.1 %</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(1,530)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25,103</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38.3 %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18,213</w:t>
            </w:r>
          </w:p>
        </w:tc>
        <w:tc>
          <w:tcPr>
            <w:tcW w:w="4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51.6 %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0" w:type="dxa"/>
            <w:vAlign w:val="bottom"/>
          </w:tcPr>
          <w:p>
            <w:pPr>
              <w:spacing w:after="0"/>
              <w:rPr>
                <w:sz w:val="1"/>
                <w:szCs w:val="1"/>
                <w:color w:val="auto"/>
              </w:rPr>
            </w:pPr>
          </w:p>
        </w:tc>
      </w:tr>
      <w:tr>
        <w:trPr>
          <w:trHeight w:val="196"/>
        </w:trPr>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cost of goods sold</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46,091</w:t>
            </w:r>
          </w:p>
        </w:tc>
        <w:tc>
          <w:tcPr>
            <w:tcW w:w="3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44.5 %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36,523</w:t>
            </w:r>
          </w:p>
        </w:tc>
        <w:tc>
          <w:tcPr>
            <w:tcW w:w="3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46.2 %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125,196</w:t>
            </w:r>
          </w:p>
        </w:tc>
        <w:tc>
          <w:tcPr>
            <w:tcW w:w="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44.3 %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105,495</w:t>
            </w:r>
          </w:p>
        </w:tc>
        <w:tc>
          <w:tcPr>
            <w:tcW w:w="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46.0 %</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Basis point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9"/>
          </w:tcPr>
          <w:p>
            <w:pPr>
              <w:jc w:val="right"/>
              <w:ind w:right="480"/>
              <w:spacing w:after="0"/>
              <w:rPr>
                <w:sz w:val="20"/>
                <w:szCs w:val="20"/>
                <w:color w:val="auto"/>
              </w:rPr>
            </w:pPr>
            <w:r>
              <w:rPr>
                <w:rFonts w:ascii="Times New Roman" w:cs="Times New Roman" w:eastAsia="Times New Roman" w:hAnsi="Times New Roman"/>
                <w:sz w:val="14"/>
                <w:szCs w:val="14"/>
                <w:color w:val="auto"/>
              </w:rPr>
              <w:t>Nine months ended June 30,</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Basis point</w:t>
            </w: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inc. (decr.)</w:t>
            </w: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inc. (decr.)</w:t>
            </w:r>
          </w:p>
        </w:tc>
        <w:tc>
          <w:tcPr>
            <w:tcW w:w="0" w:type="dxa"/>
            <w:vAlign w:val="bottom"/>
          </w:tcPr>
          <w:p>
            <w:pPr>
              <w:spacing w:after="0"/>
              <w:rPr>
                <w:sz w:val="1"/>
                <w:szCs w:val="1"/>
                <w:color w:val="auto"/>
              </w:rPr>
            </w:pPr>
          </w:p>
        </w:tc>
      </w:tr>
      <w:tr>
        <w:trPr>
          <w:trHeight w:val="190"/>
        </w:trPr>
        <w:tc>
          <w:tcPr>
            <w:tcW w:w="1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2021</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IoT Products &amp;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12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36,806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116,779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60" w:type="dxa"/>
            <w:vAlign w:val="bottom"/>
          </w:tcPr>
          <w:p>
            <w:pPr>
              <w:spacing w:after="0"/>
              <w:rPr>
                <w:sz w:val="16"/>
                <w:szCs w:val="16"/>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106,942</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55.1 %</w:t>
            </w: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10"/>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IoT Solutions</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0" w:type="dxa"/>
            <w:vAlign w:val="bottom"/>
          </w:tcPr>
          <w:p>
            <w:pPr>
              <w:spacing w:after="0"/>
              <w:rPr>
                <w:sz w:val="1"/>
                <w:szCs w:val="1"/>
                <w:color w:val="auto"/>
              </w:rPr>
            </w:pPr>
          </w:p>
        </w:tc>
      </w:tr>
      <w:tr>
        <w:trPr>
          <w:trHeight w:val="196"/>
        </w:trPr>
        <w:tc>
          <w:tcPr>
            <w:tcW w:w="1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gross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42,556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157,291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124,031</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decreased 160 basis points for the three months ended June 30, 2022 as compared to the same period in the prior fiscal year. This decrease primarily was a result of:</w:t>
      </w:r>
    </w:p>
    <w:p>
      <w:pPr>
        <w:spacing w:after="0" w:line="5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production and distribution costs due to the continuing supply chain challenges, as well as changes in product and customer mix.</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decreased 130 basis points for the nine months ended June 30, 2022 as compared to the same period in the prior fiscal year. This decrease primarily was a result of:</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production and distribution costs due to the continuing supply chain challenges, as well as changes in product and customer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1,530 basis points for the three months ended June 30, 2022 as compared to the same periods in the prior fiscal year. This increase primarily was a result of:</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recurring subscription revenue, from the acquisition of Ventus, which typically has a high gross profit margin.</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1,330 basis points for the nine months ended June 30, 2022 as compared to the same periods in the prior fiscal year. This increase primarily was a result of:</w:t>
      </w:r>
    </w:p>
    <w:p>
      <w:pPr>
        <w:spacing w:after="0" w:line="5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recurring subscription revenue, from the acquisition of Ventus, which typically has a high gross profit margin.</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our operating expenses and operating expenses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8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color w:val="auto"/>
              </w:rPr>
              <w:t>Nine months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4"/>
              </w:rPr>
              <w:t>incr.</w:t>
            </w:r>
          </w:p>
        </w:tc>
        <w:tc>
          <w:tcPr>
            <w:tcW w:w="100" w:type="dxa"/>
            <w:vAlign w:val="bottom"/>
          </w:tcPr>
          <w:p>
            <w:pPr>
              <w:spacing w:after="0"/>
              <w:rPr>
                <w:sz w:val="2"/>
                <w:szCs w:val="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incr.</w:t>
            </w: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incr.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140" w:type="dxa"/>
            <w:vAlign w:val="bottom"/>
          </w:tcPr>
          <w:p>
            <w:pPr>
              <w:spacing w:after="0"/>
              <w:rPr>
                <w:sz w:val="10"/>
                <w:szCs w:val="10"/>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48"/>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100" w:type="dxa"/>
            <w:vAlign w:val="bottom"/>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w w:val="97"/>
              </w:rPr>
              <w:t>(decr.)</w:t>
            </w:r>
          </w:p>
        </w:tc>
        <w:tc>
          <w:tcPr>
            <w:tcW w:w="2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8"/>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760" w:type="dxa"/>
            <w:vAlign w:val="bottom"/>
          </w:tcPr>
          <w:p>
            <w:pPr>
              <w:ind w:left="200"/>
              <w:spacing w:after="0" w:line="125" w:lineRule="exact"/>
              <w:rPr>
                <w:sz w:val="20"/>
                <w:szCs w:val="20"/>
                <w:color w:val="auto"/>
              </w:rPr>
            </w:pPr>
            <w:r>
              <w:rPr>
                <w:rFonts w:ascii="Times New Roman" w:cs="Times New Roman" w:eastAsia="Times New Roman" w:hAnsi="Times New Roman"/>
                <w:sz w:val="14"/>
                <w:szCs w:val="14"/>
                <w:color w:val="auto"/>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20.1 %  $  2,320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18.2 %</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10.9 %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6,377</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8,515</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charge</w:t>
            </w: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38,538</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48.7 %</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135,954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48.1 %</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116,789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19,165</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16.4 %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$8.9 million increase in operating expenses in the third quarter of fiscal 2022 from the third quarter of fiscal 2021 primarily was the result of:</w:t>
      </w:r>
    </w:p>
    <w:p>
      <w:pPr>
        <w:spacing w:after="0" w:line="11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operating expenses, primarily from the acquisition of Ventus.</w:t>
      </w:r>
    </w:p>
    <w:p>
      <w:pPr>
        <w:spacing w:after="0" w:line="18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$19.2 million increase in operating expenses in the first three quarters of fiscal 2022 from the first three quarters of fiscal 2021 primarily was the result of:</w:t>
      </w:r>
    </w:p>
    <w:p>
      <w:pPr>
        <w:spacing w:after="0" w:line="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operating expenses from our acquisitions of Haxiot, Ctek and Ventus.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1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in contingent consideration expenses in prior year and a decrease in restructuring charges.</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was $10.0 million for the three months ended June 30, 2022, compared to $4.0 million for the three months ended June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was $21.3 million for the nine months ended June 30, 2022, compared to $7.2 million for the nine months ended June 30, 2021.</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IoT Product &amp; Services provided operating income of $10.9 million for the three months ended June 30, 2022 compared to $6.1 million for the three months ended June 30, 2021, an increase of $4.8 million, or 78.3%. IoT Product &amp; Services provided operating income of $24.0 million for the nine months ended June 30, 2022 compared to $12.0 million for the nine months ended June 30, 2021, an increase of $12.1 million, or 101.2%. Drivers for the changes in operating income for the both the quarter and year-to-date periods are described above in the revenue, gross profit and operating expenses details.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IoT Solutions had an operating loss of $0.9 million for the three months ended June 30, 2022 compared to an operating loss of $2.1 million for the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2021, a decrease of $1.2 million, or 56.5%. IoT Solutions incurred an operating loss of $2.7 million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compared to $4.7 million for the nine months ended June 30, 2021, a decrease of $2.0 million, or 42.5%. Drivers for the changes in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both the quarter and year-to-date periods are described above in the revenue, gross profit and operating expenses details.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4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color w:val="auto"/>
              </w:rPr>
              <w:t>Nine months ended June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restart"/>
          </w:tcPr>
          <w:p>
            <w:pPr>
              <w:jc w:val="center"/>
              <w:ind w:right="48"/>
              <w:spacing w:after="0" w:line="159" w:lineRule="exact"/>
              <w:rPr>
                <w:sz w:val="20"/>
                <w:szCs w:val="20"/>
                <w:color w:val="auto"/>
              </w:rPr>
            </w:pPr>
            <w:r>
              <w:rPr>
                <w:rFonts w:ascii="Times New Roman" w:cs="Times New Roman" w:eastAsia="Times New Roman" w:hAnsi="Times New Roman"/>
                <w:sz w:val="14"/>
                <w:szCs w:val="14"/>
                <w:color w:val="auto"/>
              </w:rPr>
              <w:t>incr.</w:t>
            </w:r>
          </w:p>
        </w:tc>
        <w:tc>
          <w:tcPr>
            <w:tcW w:w="100" w:type="dxa"/>
            <w:vAlign w:val="bottom"/>
          </w:tcPr>
          <w:p>
            <w:pPr>
              <w:spacing w:after="0"/>
              <w:rPr>
                <w:sz w:val="2"/>
                <w:szCs w:val="2"/>
                <w:color w:val="auto"/>
              </w:rPr>
            </w:pPr>
          </w:p>
        </w:tc>
        <w:tc>
          <w:tcPr>
            <w:tcW w:w="760" w:type="dxa"/>
            <w:vAlign w:val="bottom"/>
            <w:gridSpan w:val="2"/>
            <w:vMerge w:val="restart"/>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rPr>
              <w:t>incr.</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jc w:val="center"/>
              <w:ind w:right="48"/>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120" w:type="dxa"/>
            <w:vAlign w:val="bottom"/>
          </w:tcPr>
          <w:p>
            <w:pPr>
              <w:spacing w:after="0"/>
              <w:rPr>
                <w:sz w:val="2"/>
                <w:szCs w:val="2"/>
                <w:color w:val="auto"/>
              </w:rPr>
            </w:pPr>
          </w:p>
        </w:tc>
        <w:tc>
          <w:tcPr>
            <w:tcW w:w="64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w w:val="94"/>
              </w:rPr>
              <w:t>incr.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in thousands)</w:t>
            </w:r>
          </w:p>
        </w:tc>
        <w:tc>
          <w:tcPr>
            <w:tcW w:w="160" w:type="dxa"/>
            <w:vAlign w:val="bottom"/>
          </w:tcPr>
          <w:p>
            <w:pPr>
              <w:spacing w:after="0"/>
              <w:rPr>
                <w:sz w:val="10"/>
                <w:szCs w:val="10"/>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2021</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(decr.)</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(decr.)</w:t>
            </w: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(decr.)</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expense, net</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120"/>
              <w:spacing w:after="0" w:line="122" w:lineRule="exact"/>
              <w:rPr>
                <w:sz w:val="20"/>
                <w:szCs w:val="20"/>
                <w:color w:val="auto"/>
              </w:rPr>
            </w:pPr>
            <w:r>
              <w:rPr>
                <w:rFonts w:ascii="Times New Roman" w:cs="Times New Roman" w:eastAsia="Times New Roman" w:hAnsi="Times New Roman"/>
                <w:sz w:val="14"/>
                <w:szCs w:val="14"/>
                <w:color w:val="auto"/>
              </w:rPr>
              <w:t>Total other expense,</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(14,716)</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(13,472)</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gridSpan w:val="2"/>
            <w:vMerge w:val="continue"/>
            <w:shd w:val="clear" w:color="auto" w:fill="CCEEFF"/>
          </w:tcPr>
          <w:p>
            <w:pPr>
              <w:spacing w:after="0"/>
              <w:rPr>
                <w:sz w:val="17"/>
                <w:szCs w:val="17"/>
                <w:color w:val="auto"/>
              </w:rPr>
            </w:pP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means not meaningful</w:t>
      </w:r>
    </w:p>
    <w:p>
      <w:pPr>
        <w:spacing w:after="0" w:line="194"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 xml:space="preserve">Other expense, net, increased $4.9 million and $13.5 million for the three and nine months ended June 30, 2022, respectively, as compared to the same period in the prior fiscal year. The increase was primarily a result of an increase to our interest expense as we refinanced our revolving loan with a new credit facility in November 2021 and wrote off a portion of the deferred financing fees associated with our prior credit facility to fund the acquisition of Ventus.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condensed consolidated financial statements for discussion of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85"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were actually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performance against that of other companies. We believe this information helps compare operating results and corporate performance exclusive of the impact of our capital structure and the method by which assets were acquired.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15"/>
          </w:tcPr>
          <w:p>
            <w:pPr>
              <w:ind w:left="2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11"/>
          </w:tcPr>
          <w:p>
            <w:pPr>
              <w:jc w:val="right"/>
              <w:ind w:right="140"/>
              <w:spacing w:after="0"/>
              <w:rPr>
                <w:sz w:val="20"/>
                <w:szCs w:val="20"/>
                <w:color w:val="auto"/>
              </w:rPr>
            </w:pPr>
            <w:r>
              <w:rPr>
                <w:rFonts w:ascii="Times New Roman" w:cs="Times New Roman" w:eastAsia="Times New Roman" w:hAnsi="Times New Roman"/>
                <w:sz w:val="16"/>
                <w:szCs w:val="16"/>
                <w:color w:val="auto"/>
              </w:rPr>
              <w:t>Nine months ended 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color w:val="auto"/>
                <w:w w:val="93"/>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6"/>
          </w:tcPr>
          <w:p>
            <w:pPr>
              <w:jc w:val="right"/>
              <w:ind w:right="679"/>
              <w:spacing w:after="0"/>
              <w:rPr>
                <w:sz w:val="20"/>
                <w:szCs w:val="20"/>
                <w:color w:val="auto"/>
              </w:rPr>
            </w:pPr>
            <w:r>
              <w:rPr>
                <w:rFonts w:ascii="Times New Roman" w:cs="Times New Roman" w:eastAsia="Times New Roman" w:hAnsi="Times New Roman"/>
                <w:sz w:val="16"/>
                <w:szCs w:val="16"/>
                <w:color w:val="auto"/>
                <w:w w:val="93"/>
              </w:rPr>
              <w:t>2021</w:t>
            </w:r>
          </w:p>
        </w:tc>
        <w:tc>
          <w:tcPr>
            <w:tcW w:w="0" w:type="dxa"/>
            <w:vAlign w:val="bottom"/>
          </w:tcPr>
          <w:p>
            <w:pPr>
              <w:spacing w:after="0"/>
              <w:rPr>
                <w:sz w:val="1"/>
                <w:szCs w:val="1"/>
                <w:color w:val="auto"/>
              </w:rPr>
            </w:pPr>
          </w:p>
        </w:tc>
      </w:tr>
      <w:tr>
        <w:trPr>
          <w:trHeight w:val="158"/>
        </w:trPr>
        <w:tc>
          <w:tcPr>
            <w:tcW w:w="2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color w:val="auto"/>
              </w:rPr>
              <w:t>% of total</w:t>
            </w: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w w:val="98"/>
              </w:rPr>
              <w:t>revenue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revenue</w:t>
            </w:r>
          </w:p>
        </w:tc>
        <w:tc>
          <w:tcPr>
            <w:tcW w:w="0" w:type="dxa"/>
            <w:vAlign w:val="bottom"/>
          </w:tcPr>
          <w:p>
            <w:pPr>
              <w:spacing w:after="0"/>
              <w:rPr>
                <w:sz w:val="1"/>
                <w:szCs w:val="1"/>
                <w:color w:val="auto"/>
              </w:rPr>
            </w:pPr>
          </w:p>
        </w:tc>
      </w:tr>
      <w:tr>
        <w:trPr>
          <w:trHeight w:val="229"/>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4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103,517</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79,079</w:t>
            </w:r>
          </w:p>
        </w:tc>
        <w:tc>
          <w:tcPr>
            <w:tcW w:w="180" w:type="dxa"/>
            <w:vAlign w:val="bottom"/>
            <w:tcBorders>
              <w:top w:val="single" w:sz="8" w:color="CCEEFF"/>
            </w:tcBorders>
            <w:gridSpan w:val="2"/>
            <w:shd w:val="clear" w:color="auto" w:fill="CCEEFF"/>
          </w:tcPr>
          <w:p>
            <w:pPr>
              <w:spacing w:after="0"/>
              <w:rPr>
                <w:sz w:val="19"/>
                <w:szCs w:val="19"/>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282,487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229,526</w:t>
            </w: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3,157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14,657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5,148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25,393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Changes in fair value of contingent consideration</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expense</w:t>
            </w:r>
          </w:p>
        </w:tc>
        <w:tc>
          <w:tcPr>
            <w:tcW w:w="4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11,576</w:t>
            </w:r>
          </w:p>
        </w:tc>
        <w:tc>
          <w:tcPr>
            <w:tcW w:w="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57,543</w:t>
            </w:r>
          </w:p>
        </w:tc>
        <w:tc>
          <w:tcPr>
            <w:tcW w:w="10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36,248</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820" w:type="dxa"/>
            <w:vAlign w:val="bottom"/>
          </w:tcPr>
          <w:p>
            <w:pPr>
              <w:spacing w:after="0"/>
              <w:rPr>
                <w:sz w:val="24"/>
                <w:szCs w:val="24"/>
                <w:color w:val="auto"/>
              </w:rPr>
            </w:pPr>
          </w:p>
        </w:tc>
        <w:tc>
          <w:tcPr>
            <w:tcW w:w="5440" w:type="dxa"/>
            <w:vAlign w:val="bottom"/>
            <w:gridSpan w:val="29"/>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20" w:type="dxa"/>
            <w:vAlign w:val="bottom"/>
          </w:tcPr>
          <w:p>
            <w:pPr>
              <w:spacing w:after="0"/>
              <w:rPr>
                <w:sz w:val="19"/>
                <w:szCs w:val="19"/>
                <w:color w:val="auto"/>
              </w:rPr>
            </w:pPr>
          </w:p>
        </w:tc>
        <w:tc>
          <w:tcPr>
            <w:tcW w:w="5440" w:type="dxa"/>
            <w:vAlign w:val="bottom"/>
            <w:gridSpan w:val="29"/>
          </w:tcPr>
          <w:p>
            <w:pPr>
              <w:jc w:val="center"/>
              <w:ind w:left="75"/>
              <w:spacing w:after="0"/>
              <w:rPr>
                <w:sz w:val="20"/>
                <w:szCs w:val="20"/>
                <w:color w:val="auto"/>
              </w:rPr>
            </w:pPr>
            <w:r>
              <w:rPr>
                <w:rFonts w:ascii="Times New Roman" w:cs="Times New Roman" w:eastAsia="Times New Roman" w:hAnsi="Times New Roman"/>
                <w:sz w:val="18"/>
                <w:szCs w:val="18"/>
                <w:b w:val="1"/>
                <w:bCs w:val="1"/>
                <w:color w:val="auto"/>
                <w:w w:val="99"/>
              </w:rPr>
              <w:t>Adjusted Net Income and Adjusted Net Income per Diluted Share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18"/>
          </w:tcPr>
          <w:p>
            <w:pPr>
              <w:jc w:val="center"/>
              <w:ind w:left="196"/>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2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color w:val="auto"/>
              </w:rPr>
              <w:t>Nine months ended June 30,</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color w:val="auto"/>
              </w:rPr>
              <w:t>2021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Net income and net income per diluted</w:t>
            </w:r>
          </w:p>
        </w:tc>
        <w:tc>
          <w:tcPr>
            <w:tcW w:w="420" w:type="dxa"/>
            <w:vAlign w:val="bottom"/>
            <w:vMerge w:val="restart"/>
            <w:shd w:val="clear" w:color="auto" w:fill="CCEEFF"/>
          </w:tcPr>
          <w:p>
            <w:pPr>
              <w:jc w:val="right"/>
              <w:ind w:right="23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w:t>
            </w:r>
          </w:p>
        </w:tc>
        <w:tc>
          <w:tcPr>
            <w:tcW w:w="560" w:type="dxa"/>
            <w:vAlign w:val="bottom"/>
            <w:gridSpan w:val="2"/>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380" w:type="dxa"/>
            <w:vAlign w:val="bottom"/>
            <w:gridSpan w:val="3"/>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8,160</w:t>
            </w: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260" w:type="dxa"/>
            <w:vAlign w:val="bottom"/>
            <w:gridSpan w:val="5"/>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42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480" w:type="dxa"/>
            <w:vAlign w:val="bottom"/>
            <w:gridSpan w:val="4"/>
            <w:vMerge w:val="continue"/>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60" w:type="dxa"/>
            <w:vAlign w:val="bottom"/>
            <w:gridSpan w:val="5"/>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4,101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non-operating income</w:t>
            </w: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expense</w:t>
            </w: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Changes in fair value of contingent</w:t>
            </w:r>
          </w:p>
        </w:tc>
        <w:tc>
          <w:tcPr>
            <w:tcW w:w="420" w:type="dxa"/>
            <w:vAlign w:val="bottom"/>
          </w:tcPr>
          <w:p>
            <w:pPr>
              <w:spacing w:after="0"/>
              <w:rPr>
                <w:sz w:val="14"/>
                <w:szCs w:val="14"/>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5,772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consideration</w:t>
            </w:r>
          </w:p>
        </w:tc>
        <w:tc>
          <w:tcPr>
            <w:tcW w:w="42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w:t>
            </w: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Tax effect from the above adjustments </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Discrete tax benefits </w:t>
            </w:r>
            <w:r>
              <w:rPr>
                <w:rFonts w:ascii="Times New Roman" w:cs="Times New Roman" w:eastAsia="Times New Roman" w:hAnsi="Times New Roman"/>
                <w:sz w:val="21"/>
                <w:szCs w:val="21"/>
                <w:color w:val="auto"/>
                <w:vertAlign w:val="superscript"/>
              </w:rPr>
              <w:t>(2)</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29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Adjusted net income and adjusted net</w:t>
            </w:r>
          </w:p>
        </w:tc>
        <w:tc>
          <w:tcPr>
            <w:tcW w:w="420" w:type="dxa"/>
            <w:vAlign w:val="bottom"/>
            <w:vMerge w:val="restart"/>
            <w:shd w:val="clear" w:color="auto" w:fill="CCEEFF"/>
          </w:tcPr>
          <w:p>
            <w:pPr>
              <w:jc w:val="right"/>
              <w:ind w:right="23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15,934</w:t>
            </w:r>
          </w:p>
        </w:tc>
        <w:tc>
          <w:tcPr>
            <w:tcW w:w="560" w:type="dxa"/>
            <w:vAlign w:val="bottom"/>
            <w:gridSpan w:val="2"/>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56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w:t>
            </w:r>
          </w:p>
        </w:tc>
        <w:tc>
          <w:tcPr>
            <w:tcW w:w="380" w:type="dxa"/>
            <w:vAlign w:val="bottom"/>
            <w:gridSpan w:val="3"/>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43,139</w:t>
            </w: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27,801</w:t>
            </w:r>
          </w:p>
        </w:tc>
        <w:tc>
          <w:tcPr>
            <w:tcW w:w="260" w:type="dxa"/>
            <w:vAlign w:val="bottom"/>
            <w:gridSpan w:val="5"/>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6"/>
                <w:szCs w:val="16"/>
                <w:color w:val="auto"/>
              </w:rPr>
              <w:t xml:space="preserve">income per diluted share </w:t>
            </w:r>
            <w:r>
              <w:rPr>
                <w:rFonts w:ascii="Times New Roman" w:cs="Times New Roman" w:eastAsia="Times New Roman" w:hAnsi="Times New Roman"/>
                <w:sz w:val="21"/>
                <w:szCs w:val="21"/>
                <w:color w:val="auto"/>
                <w:vertAlign w:val="superscript"/>
              </w:rPr>
              <w:t>(3)</w:t>
            </w:r>
          </w:p>
        </w:tc>
        <w:tc>
          <w:tcPr>
            <w:tcW w:w="42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480" w:type="dxa"/>
            <w:vAlign w:val="bottom"/>
            <w:gridSpan w:val="4"/>
            <w:vMerge w:val="continue"/>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60" w:type="dxa"/>
            <w:vAlign w:val="bottom"/>
            <w:gridSpan w:val="5"/>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35,740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35,148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35,740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32,706</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from the above adjustments assumes an estimated effective tax rate of 18.0% for fiscal 2022 and fiscal 2021 based on adjusted net income.</w:t>
      </w:r>
    </w:p>
    <w:p>
      <w:pPr>
        <w:spacing w:after="0" w:line="26" w:lineRule="exact"/>
        <w:rPr>
          <w:rFonts w:ascii="Times New Roman" w:cs="Times New Roman" w:eastAsia="Times New Roman" w:hAnsi="Times New Roman"/>
          <w:sz w:val="16"/>
          <w:szCs w:val="16"/>
          <w:color w:val="auto"/>
        </w:rPr>
      </w:pPr>
    </w:p>
    <w:p>
      <w:pPr>
        <w:ind w:left="340" w:right="840" w:hanging="332"/>
        <w:spacing w:after="0" w:line="253"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June 30, 2022 and June 30, 2021, discrete tax benefits primarily are a result of excess tax benefits recognized on stock compensation.</w:t>
      </w:r>
    </w:p>
    <w:p>
      <w:pPr>
        <w:ind w:left="340" w:hanging="332"/>
        <w:spacing w:after="0"/>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diluted share may not add due to the use of rounded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4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On November 1, 2021, we entered into a second amended and restated credit agreement consisting of a $350 million term loan B secured loan and a $35 million revolving credit facility. The $35 million revolving credit facility, which presently has no outstanding balance, includes a $10 million letter of credit subfacility and $10 million swingline subfacility. During the first quarter of fiscal 2022, we repaid all outstanding balances under the credit facility entered into on March 21, 2021. As of June 30, 2022, $35.0 million remained available under the Revolving Loan, which included $10 million available for a letter of credit subfacility and $10 million available under a swingline subfacility, the outstanding amounts of which decrease the available commitment. For additional information regarding the terms of our Credit Facility, including the Revolving Loan and its subfacilities,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condensed consolidated financial statements.</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expect positive cash flows from operations for the foreseeable future. Our third fiscal quarter operating cash flows were negatively impacted by changes in operating assets and liabilities (net of acquisitions) that we do not anticipate in future periods. We believe that our current cash and cash equivalents balances, cash generated from operations and our ability to borrow under our credit facility will be sufficient to fund our business operations and capital expenditures for the next twelve months and beyond. As follows, our condensed consolidated statements of cash flows for the nine months ended June 30, 2022 and 2021 is summarized: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ind w:left="240"/>
              <w:spacing w:after="0"/>
              <w:rPr>
                <w:sz w:val="20"/>
                <w:szCs w:val="20"/>
                <w:color w:val="auto"/>
              </w:rPr>
            </w:pPr>
            <w:r>
              <w:rPr>
                <w:rFonts w:ascii="Times New Roman" w:cs="Times New Roman" w:eastAsia="Times New Roman" w:hAnsi="Times New Roman"/>
                <w:sz w:val="14"/>
                <w:szCs w:val="14"/>
                <w:color w:val="auto"/>
              </w:rPr>
              <w:t>Nine months ended June 30,</w:t>
            </w:r>
          </w:p>
        </w:tc>
        <w:tc>
          <w:tcPr>
            <w:tcW w:w="0" w:type="dxa"/>
            <w:vAlign w:val="bottom"/>
          </w:tcPr>
          <w:p>
            <w:pPr>
              <w:spacing w:after="0"/>
              <w:rPr>
                <w:sz w:val="1"/>
                <w:szCs w:val="1"/>
                <w:color w:val="auto"/>
              </w:rPr>
            </w:pPr>
          </w:p>
        </w:tc>
      </w:tr>
      <w:tr>
        <w:trPr>
          <w:trHeight w:val="23"/>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03"/>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42,084</w:t>
            </w:r>
          </w:p>
        </w:tc>
        <w:tc>
          <w:tcPr>
            <w:tcW w:w="0" w:type="dxa"/>
            <w:vAlign w:val="bottom"/>
          </w:tcPr>
          <w:p>
            <w:pPr>
              <w:spacing w:after="0"/>
              <w:rPr>
                <w:sz w:val="1"/>
                <w:szCs w:val="1"/>
                <w:color w:val="auto"/>
              </w:rPr>
            </w:pPr>
          </w:p>
        </w:tc>
      </w:tr>
      <w:tr>
        <w:trPr>
          <w:trHeight w:val="195"/>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(7,957)</w:t>
            </w:r>
          </w:p>
        </w:tc>
        <w:tc>
          <w:tcPr>
            <w:tcW w:w="0" w:type="dxa"/>
            <w:vAlign w:val="bottom"/>
          </w:tcPr>
          <w:p>
            <w:pPr>
              <w:spacing w:after="0"/>
              <w:rPr>
                <w:sz w:val="1"/>
                <w:szCs w:val="1"/>
                <w:color w:val="auto"/>
              </w:rPr>
            </w:pPr>
          </w:p>
        </w:tc>
      </w:tr>
      <w:tr>
        <w:trPr>
          <w:trHeight w:val="210"/>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60,579</w:t>
            </w:r>
          </w:p>
        </w:tc>
        <w:tc>
          <w:tcPr>
            <w:tcW w:w="0" w:type="dxa"/>
            <w:vAlign w:val="bottom"/>
          </w:tcPr>
          <w:p>
            <w:pPr>
              <w:spacing w:after="0"/>
              <w:rPr>
                <w:sz w:val="1"/>
                <w:szCs w:val="1"/>
                <w:color w:val="auto"/>
              </w:rPr>
            </w:pPr>
          </w:p>
        </w:tc>
      </w:tr>
      <w:tr>
        <w:trPr>
          <w:trHeight w:val="196"/>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(1,893)</w:t>
            </w:r>
          </w:p>
        </w:tc>
        <w:tc>
          <w:tcPr>
            <w:tcW w:w="0" w:type="dxa"/>
            <w:vAlign w:val="bottom"/>
          </w:tcPr>
          <w:p>
            <w:pPr>
              <w:spacing w:after="0"/>
              <w:rPr>
                <w:sz w:val="1"/>
                <w:szCs w:val="1"/>
                <w:color w:val="auto"/>
              </w:rPr>
            </w:pPr>
          </w:p>
        </w:tc>
      </w:tr>
      <w:tr>
        <w:trPr>
          <w:trHeight w:val="22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92,813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 decreased $26.6 million primarily as a result of:</w:t>
      </w:r>
    </w:p>
    <w:p>
      <w:pPr>
        <w:spacing w:after="0" w:line="187" w:lineRule="exact"/>
        <w:rPr>
          <w:sz w:val="20"/>
          <w:szCs w:val="20"/>
          <w:color w:val="auto"/>
        </w:rPr>
      </w:pPr>
    </w:p>
    <w:p>
      <w:pPr>
        <w:ind w:left="660" w:right="1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assets and liabilities (net of acquisitions) during the period of $34.6 million compared to a decrease of $3.1 million in the nine months ended June 30, 2021,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$5.8 million in contingent consideration fair value changes from the nine months ended June 30,2021.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8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depreciation and amortization expenses, the provision for inventory obsolescence and net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 increased $343.8 million almost entirely as a result of:</w:t>
      </w:r>
    </w:p>
    <w:p>
      <w:pPr>
        <w:spacing w:after="0" w:line="200" w:lineRule="exact"/>
        <w:rPr>
          <w:sz w:val="20"/>
          <w:szCs w:val="20"/>
          <w:color w:val="auto"/>
        </w:rPr>
      </w:pPr>
    </w:p>
    <w:p>
      <w:pPr>
        <w:ind w:left="660" w:right="3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$341.2 million used for acquisitions, primarily related to our November 2021 acquisition of Ventus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increased $163.7 million primarily as a result of:</w:t>
      </w:r>
    </w:p>
    <w:p>
      <w:pPr>
        <w:spacing w:after="0" w:line="18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$350.0 million in proceeds from the Term Loan issued in November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8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 million in proceeds from stock issuance in Q2 2021,</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$45.8 million upon the closing of the Term Loan issued in November 2021 to retire the previous credit facility,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ind w:right="122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right="2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early payments of $81.3 million on the new Term Loan issued in November 2021 compared to $15.6 million in debt payments in fiscal 2021 on the previous credit facility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at June 30, 2022:</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6"/>
          </w:tcPr>
          <w:p>
            <w:pPr>
              <w:jc w:val="center"/>
              <w:ind w:left="428"/>
              <w:spacing w:after="0"/>
              <w:rPr>
                <w:sz w:val="20"/>
                <w:szCs w:val="20"/>
                <w:color w:val="auto"/>
              </w:rPr>
            </w:pPr>
            <w:r>
              <w:rPr>
                <w:rFonts w:ascii="Times New Roman" w:cs="Times New Roman" w:eastAsia="Times New Roman" w:hAnsi="Times New Roman"/>
                <w:sz w:val="14"/>
                <w:szCs w:val="14"/>
                <w:color w:val="auto"/>
              </w:rPr>
              <w:t>Payments due by fiscal period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Less than 1 year</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1-3 years</w:t>
            </w:r>
          </w:p>
        </w:tc>
        <w:tc>
          <w:tcPr>
            <w:tcW w:w="24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3-5 years</w:t>
            </w:r>
          </w:p>
        </w:tc>
        <w:tc>
          <w:tcPr>
            <w:tcW w:w="18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03"/>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22,220</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w:t>
            </w:r>
          </w:p>
        </w:tc>
        <w:tc>
          <w:tcPr>
            <w:tcW w:w="0" w:type="dxa"/>
            <w:vAlign w:val="bottom"/>
          </w:tcPr>
          <w:p>
            <w:pPr>
              <w:spacing w:after="0"/>
              <w:rPr>
                <w:sz w:val="1"/>
                <w:szCs w:val="1"/>
                <w:color w:val="auto"/>
              </w:rPr>
            </w:pPr>
          </w:p>
        </w:tc>
      </w:tr>
      <w:tr>
        <w:trPr>
          <w:trHeight w:val="19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268,748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181,248</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on long-term debt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93,503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27,293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15,558</w:t>
            </w:r>
          </w:p>
        </w:tc>
        <w:tc>
          <w:tcPr>
            <w:tcW w:w="0" w:type="dxa"/>
            <w:vAlign w:val="bottom"/>
          </w:tcPr>
          <w:p>
            <w:pPr>
              <w:spacing w:after="0"/>
              <w:rPr>
                <w:sz w:val="1"/>
                <w:szCs w:val="1"/>
                <w:color w:val="auto"/>
              </w:rPr>
            </w:pPr>
          </w:p>
        </w:tc>
      </w:tr>
      <w:tr>
        <w:trPr>
          <w:trHeight w:val="228"/>
        </w:trPr>
        <w:tc>
          <w:tcPr>
            <w:tcW w:w="52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390,671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66,446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203,425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operating lease agreements included above primarily relate to office space. The table above does not include possible payments for uncertain tax positions. Our reserve for uncertain tax positions, including accrued interest and penalties, was $2.8 million as of June 30, 2022.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new accounting pronouncements,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ongoing market risk related to changes in interest rates and foreign currency exchange rates.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are exposed to market risks related to fluctuations in interest rates on amounts borrowed under the Credit Facility. As of June 30, 2022, we had $268.7 million outstanding under our Term Loan.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 or the one-month LIBOR for U.S. dollars plus 1.00%. The applicable margin for loans under the Revolving Credit Facility is in a range of 4.00-3.75% for LIBOR loans and 3.00 to 2.75% for base rate loans, depending on Digi’s consolidated leverage ratio. Based on the balance sheet position for the Revolving Loan at June 30, 2022, the annualized effect of a 25 basis point change in interest rates would increase or decrease our interest expense by $0.7 million. For additional information,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condensed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10% change in the average exchange rate for the Euro, British Pound, Japanese Yen and Canadian Dollar to the U.S. Dollar during the first nine months of fiscal 2022 would have resulted in a 0.6% increase or decrease in stockholders' equity due to foreign currency translation.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exposure to credit risk related to our accounts receivable portfolio. Exposure to credit risk is controlled through regular monitoring of customer financial status, credit limits and collaboration with sales management and customer contacts to facilitate payment.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conducted an evaluation, under the supervision and with the participation of the Chief Executive Officer and Chief Financial Officer, of our disclosure controls and procedures (as defined in Rules 13a-15(e) and 15d-15(e) under the Securities Exchange Act of 1934 (the "Exchange Act")). Based on this evaluation, the Chief Executive Officer and Chief Financial Officer concluded that our disclosure controls and procedures were effective to ensure that information required to be disclosed by us in reports that we file or submit under the Exchange Act was recorded, processed, summarized and reported within the time periods specified in SEC rules and forms and is accumulated and communicated to our management, including the principal executive and principal financial officers, or persons performing similar functions, as appropriate to allow timely decisions regarding required disclosure.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INTERNAL CONTROL OVER FINANCIAL REPORTING</w:t>
      </w:r>
    </w:p>
    <w:p>
      <w:pPr>
        <w:spacing w:after="0" w:line="18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nine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disclosure set forth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condensed consolidated financial statements in Part I, Item 1 of this Form 10-Q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previously disclosed in Item 1A of Part I of our Annual Report on Form 10-K for the year ended September 30, 2021 and in Item 1A of Part II of our Quarterly Reports on Form 10-Q filed subsequent to that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third quarter of fiscal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color w:val="auto"/>
                <w:w w:val="93"/>
              </w:rPr>
              <w:t>Purchased</w:t>
            </w:r>
            <w:r>
              <w:rPr>
                <w:rFonts w:ascii="Times New Roman" w:cs="Times New Roman" w:eastAsia="Times New Roman" w:hAnsi="Times New Roman"/>
                <w:sz w:val="23"/>
                <w:szCs w:val="23"/>
                <w:color w:val="auto"/>
                <w:w w:val="93"/>
                <w:vertAlign w:val="superscript"/>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21"/>
                <w:szCs w:val="21"/>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 shares reported were forfeited by employees in connection with the satisfaction of tax withholding obligations related to the vesting of restricted stock units.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Exhibit No.</w:t>
            </w:r>
          </w:p>
        </w:tc>
        <w:tc>
          <w:tcPr>
            <w:tcW w:w="78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169"/>
        </w:trPr>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540"/>
              <w:spacing w:after="0" w:line="169" w:lineRule="exact"/>
              <w:rPr>
                <w:sz w:val="20"/>
                <w:szCs w:val="20"/>
                <w:color w:val="auto"/>
              </w:rPr>
            </w:pPr>
            <w:r>
              <w:rPr>
                <w:rFonts w:ascii="Times New Roman" w:cs="Times New Roman" w:eastAsia="Times New Roman" w:hAnsi="Times New Roman"/>
                <w:sz w:val="18"/>
                <w:szCs w:val="18"/>
                <w:color w:val="auto"/>
              </w:rPr>
              <w:t>(a)</w:t>
            </w:r>
          </w:p>
        </w:tc>
        <w:tc>
          <w:tcPr>
            <w:tcW w:w="78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auto"/>
              </w:rPr>
              <w:t>Restated Certificate of Incorporation of the Company, as amended (1)</w:t>
            </w:r>
          </w:p>
        </w:tc>
        <w:tc>
          <w:tcPr>
            <w:tcW w:w="1540" w:type="dxa"/>
            <w:vAlign w:val="bottom"/>
          </w:tcPr>
          <w:p>
            <w:pPr>
              <w:jc w:val="center"/>
              <w:ind w:left="30"/>
              <w:spacing w:after="0" w:line="16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 xml:space="preserve">Amended and Restated By-Laws of the Company </w:t>
              </w:r>
            </w:hyperlink>
            <w:r>
              <w:rPr>
                <w:rFonts w:ascii="Times New Roman" w:cs="Times New Roman" w:eastAsia="Times New Roman" w:hAnsi="Times New Roman"/>
                <w:sz w:val="18"/>
                <w:szCs w:val="18"/>
                <w:color w:val="000000"/>
              </w:rPr>
              <w:t>(2)</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38"/>
        </w:trPr>
        <w:tc>
          <w:tcPr>
            <w:tcW w:w="17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10 (a)</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Purchase Agreement dated as of November 1, 2021 by and among Keith Charette, Steven Glaser, The Keith</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R. Charette DE Incomplete – Gift Non-Grantor Trust, Ventus Networks, LLC, Ventus Holdings,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2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Ventus IP Holdings, LLC, Ventus Wireless Services, Inc., Ventus Wireless CA, Inc., VClipz, Inc., and</w:t>
              </w:r>
            </w:hyperlink>
          </w:p>
        </w:tc>
        <w:tc>
          <w:tcPr>
            <w:tcW w:w="520" w:type="dxa"/>
            <w:vAlign w:val="bottom"/>
            <w:gridSpan w:val="8"/>
          </w:tcPr>
          <w:p>
            <w:pPr>
              <w:ind w:left="40"/>
              <w:spacing w:after="0" w:line="169"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Digi</w:t>
              </w:r>
            </w:hyperlink>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 xml:space="preserve">International Inc. </w:t>
              </w:r>
              <w:r>
                <w:rPr>
                  <w:rFonts w:ascii="Times New Roman" w:cs="Times New Roman" w:eastAsia="Times New Roman" w:hAnsi="Times New Roman"/>
                  <w:sz w:val="18"/>
                  <w:szCs w:val="18"/>
                  <w:color w:val="000000"/>
                </w:rPr>
                <w:t>(3)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gridSpan w:val="3"/>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 (b)</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Second Amended and Restated Credit Agreement dated as of November 1, 2021, by and among Digi</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vMerge w:val="restart"/>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40" w:type="dxa"/>
            <w:vAlign w:val="bottom"/>
            <w:gridSpan w:val="17"/>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International Inc., as the Borrower, BMO Harris Bank N.A., as administrative agent and collateral agent,</w:t>
              </w:r>
            </w:hyperlink>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40" w:type="dxa"/>
            <w:vAlign w:val="bottom"/>
            <w:gridSpan w:val="17"/>
          </w:tcPr>
          <w:p>
            <w:pPr>
              <w:spacing w:after="0" w:line="169"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BMO Capital Markets Corp., as sole lead arranger and book runner, and the other lenders from time to time</w:t>
              </w:r>
            </w:hyperlink>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 xml:space="preserve">party thereto. </w:t>
              </w:r>
              <w:r>
                <w:rPr>
                  <w:rFonts w:ascii="Times New Roman" w:cs="Times New Roman" w:eastAsia="Times New Roman" w:hAnsi="Times New Roman"/>
                  <w:sz w:val="18"/>
                  <w:szCs w:val="18"/>
                  <w:color w:val="000000"/>
                </w:rPr>
                <w:t>(4)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gridSpan w:val="3"/>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10 (c)</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Third Amended and Restated Credit Agreement dated December 22, 2021, by and among Digi International</w:t>
              </w:r>
            </w:hyperlink>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Inc. as the Borrower, BMO Harris Bank N.A., as the administrative agent and collateral agent, BMO Capital</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jc w:val="center"/>
              <w:ind w:left="30"/>
              <w:spacing w:after="0" w:line="156"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0" w:type="dxa"/>
            <w:vAlign w:val="bottom"/>
            <w:gridSpan w:val="16"/>
          </w:tcPr>
          <w:p>
            <w:pPr>
              <w:spacing w:after="0" w:line="169"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Markets Corp, as the sole lead arranger and book runner, and other lenders from time-to-time party thereto.</w:t>
              </w:r>
            </w:hyperlink>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0000FF"/>
            </w:tcBorders>
          </w:tcPr>
          <w:p>
            <w:pPr>
              <w:spacing w:after="0"/>
              <w:rPr>
                <w:sz w:val="19"/>
                <w:szCs w:val="19"/>
                <w:color w:val="auto"/>
              </w:rPr>
            </w:pPr>
          </w:p>
        </w:tc>
        <w:tc>
          <w:tcPr>
            <w:tcW w:w="660" w:type="dxa"/>
            <w:vAlign w:val="bottom"/>
            <w:tcBorders>
              <w:top w:val="single" w:sz="8" w:color="0000FF"/>
            </w:tcBorders>
          </w:tcPr>
          <w:p>
            <w:pPr>
              <w:spacing w:after="0"/>
              <w:rPr>
                <w:sz w:val="19"/>
                <w:szCs w:val="19"/>
                <w:color w:val="auto"/>
              </w:rPr>
            </w:pPr>
          </w:p>
        </w:tc>
        <w:tc>
          <w:tcPr>
            <w:tcW w:w="168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16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 (d)</w:t>
            </w:r>
          </w:p>
        </w:tc>
        <w:tc>
          <w:tcPr>
            <w:tcW w:w="7840" w:type="dxa"/>
            <w:vAlign w:val="bottom"/>
            <w:gridSpan w:val="17"/>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 xml:space="preserve">Digi International Inc. 2021 Omnibus Incentive Plan, as amended and restated </w:t>
              </w:r>
            </w:hyperlink>
            <w:r>
              <w:rPr>
                <w:rFonts w:ascii="Times New Roman" w:cs="Times New Roman" w:eastAsia="Times New Roman" w:hAnsi="Times New Roman"/>
                <w:sz w:val="18"/>
                <w:szCs w:val="18"/>
                <w:color w:val="000000"/>
              </w:rPr>
              <w:t>(6)</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680" w:type="dxa"/>
            <w:vAlign w:val="bottom"/>
            <w:tcBorders>
              <w:top w:val="single" w:sz="8" w:color="0000FF"/>
            </w:tcBorders>
          </w:tcPr>
          <w:p>
            <w:pPr>
              <w:spacing w:after="0"/>
              <w:rPr>
                <w:sz w:val="18"/>
                <w:szCs w:val="18"/>
                <w:color w:val="auto"/>
              </w:rPr>
            </w:pPr>
          </w:p>
        </w:tc>
        <w:tc>
          <w:tcPr>
            <w:tcW w:w="1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w:t>
            </w:r>
          </w:p>
        </w:tc>
        <w:tc>
          <w:tcPr>
            <w:tcW w:w="4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3080" w:type="dxa"/>
            <w:vAlign w:val="bottom"/>
            <w:gridSpan w:val="11"/>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39"/>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Section 1350 Certification</w:t>
            </w:r>
          </w:p>
        </w:tc>
        <w:tc>
          <w:tcPr>
            <w:tcW w:w="2800" w:type="dxa"/>
            <w:vAlign w:val="bottom"/>
            <w:tcBorders>
              <w:top w:val="single" w:sz="8" w:color="0000FF"/>
            </w:tcBorders>
            <w:gridSpan w:val="2"/>
          </w:tcPr>
          <w:p>
            <w:pPr>
              <w:spacing w:after="0"/>
              <w:rPr>
                <w:sz w:val="24"/>
                <w:szCs w:val="24"/>
                <w:color w:val="auto"/>
              </w:rPr>
            </w:pPr>
          </w:p>
        </w:tc>
        <w:tc>
          <w:tcPr>
            <w:tcW w:w="3140" w:type="dxa"/>
            <w:vAlign w:val="bottom"/>
            <w:gridSpan w:val="12"/>
          </w:tcPr>
          <w:p>
            <w:pPr>
              <w:spacing w:after="0"/>
              <w:rPr>
                <w:sz w:val="24"/>
                <w:szCs w:val="24"/>
                <w:color w:val="auto"/>
              </w:rPr>
            </w:pP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425"/>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following materials from Digi International Inc.'s Quarterly Report on Form 10-Q for the fiscal period</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4"/>
        </w:trPr>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4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auto"/>
              </w:rPr>
              <w:t>ended June 30, 2022, as filed with the Security and Exchange Commission, formatted in iXBRL (Inline</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20" w:right="1640"/>
        <w:spacing w:after="0" w:line="220" w:lineRule="auto"/>
        <w:rPr>
          <w:sz w:val="20"/>
          <w:szCs w:val="20"/>
          <w:color w:val="auto"/>
        </w:rPr>
      </w:pPr>
      <w:r>
        <w:rPr>
          <w:rFonts w:ascii="Times New Roman" w:cs="Times New Roman" w:eastAsia="Times New Roman" w:hAnsi="Times New Roman"/>
          <w:sz w:val="17"/>
          <w:szCs w:val="17"/>
          <w:color w:val="auto"/>
        </w:rPr>
        <w:t>eXtensible Business Reporting Language): (i) Condensed Consolidated Statements of Operations; (ii) Condensed Consolidated Statements of Comprehensive Income; (iii) Condensed Consolidated Balance Sheets; (iv) Condensed Consolidated Statements of Cash Flows; (v) Condensed Consolidated Statements of</w:t>
      </w:r>
    </w:p>
    <w:p>
      <w:pPr>
        <w:spacing w:after="0" w:line="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Stockholders' Equity; and (vi) the Notes to the Condensed Consolidated Financial Statements.</w:t>
      </w:r>
    </w:p>
    <w:p>
      <w:pPr>
        <w:spacing w:after="0" w:line="232" w:lineRule="exact"/>
        <w:rPr>
          <w:sz w:val="20"/>
          <w:szCs w:val="20"/>
          <w:color w:val="auto"/>
        </w:rPr>
      </w:pPr>
    </w:p>
    <w:p>
      <w:pPr>
        <w:ind w:left="1720" w:right="1640" w:hanging="1095"/>
        <w:spacing w:after="0" w:line="237" w:lineRule="auto"/>
        <w:tabs>
          <w:tab w:leader="none" w:pos="1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Digi International Inc.'s Quarterly Report on Form 10-Q for the period ended June 30, 2022 is formatted in iXBRL (included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right="380" w:firstLine="8"/>
        <w:spacing w:after="0" w:line="262" w:lineRule="auto"/>
        <w:tabs>
          <w:tab w:leader="none" w:pos="12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 Digi agrees to furnish to the Commission a copy of any omitted schedule upon request. ** Management contract or compensatory plan or arrangement required to be filed as an exhibit to this Form 10-Q.</w:t>
      </w:r>
    </w:p>
    <w:p>
      <w:pPr>
        <w:spacing w:after="0" w:line="20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the Company's Annual Report on Form 10-K for the year ended September 30, 1993.</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the Company's Current Report on Form 8-K filed on April 30,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2.1 to the Company's Current Report on Form 8-K filed on November 2,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November 2,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December 23,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February 2, 2022.</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12" w:lineRule="exact"/>
        <w:rPr>
          <w:sz w:val="20"/>
          <w:szCs w:val="20"/>
          <w:color w:val="auto"/>
        </w:rPr>
      </w:pPr>
    </w:p>
    <w:p>
      <w:pPr>
        <w:ind w:left="20"/>
        <w:spacing w:after="0"/>
        <w:tabs>
          <w:tab w:leader="none" w:pos="700" w:val="left"/>
          <w:tab w:leader="none" w:pos="4720" w:val="left"/>
          <w:tab w:leader="none" w:pos="5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17145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James J. Loch</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ind w:left="5460"/>
        <w:spacing w:after="0"/>
        <w:rPr>
          <w:sz w:val="20"/>
          <w:szCs w:val="20"/>
          <w:color w:val="auto"/>
        </w:rPr>
      </w:pPr>
      <w:r>
        <w:rPr>
          <w:rFonts w:ascii="Times New Roman" w:cs="Times New Roman" w:eastAsia="Times New Roman" w:hAnsi="Times New Roman"/>
          <w:sz w:val="18"/>
          <w:szCs w:val="18"/>
          <w:color w:val="auto"/>
        </w:rPr>
        <w:t>(Principal Financial Officer and Authorized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00"/>
          </w:cols>
          <w:pgMar w:left="320" w:top="121" w:right="11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August 5, 2022</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August 5, 2022</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Digi International Inc. (the Registrant) on Form 10-Q for the fiscal quarter ended June 30, 2022 as filed with the Securities and Exchange Commission on the date hereof, each of the undersigned certifies, pursuant to 18 U.S.C. §1350, as adopted pursuant to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760" w:firstLine="8"/>
        <w:spacing w:after="0" w:line="282" w:lineRule="auto"/>
        <w:tabs>
          <w:tab w:leader="none" w:pos="2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fairly presents, in all material respects, the financial condition and results of operations of the Registrant.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5, 2022</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36518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6"/>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04"/>
    </w:lvl>
  </w:abstractNum>
  <w:abstractNum w:abstractNumId="30">
    <w:nsid w:val="440BADFC"/>
    <w:multiLevelType w:val="hybridMultilevel"/>
    <w:lvl w:ilvl="0">
      <w:lvlJc w:val="left"/>
      <w:lvlText w:val="*"/>
      <w:numFmt w:val="bullet"/>
      <w:start w:val="1"/>
    </w:lvl>
    <w:lvl w:ilvl="1">
      <w:lvlJc w:val="left"/>
      <w:lvlText w:val="(%2)"/>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5"/>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5"/>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18" Type="http://schemas.openxmlformats.org/officeDocument/2006/relationships/hyperlink" Target="http://www.sec.gov/ix?doc=/Archives/edgar/data/854775/000085477521000018/dgii-20210930.htm" TargetMode="External"/><Relationship Id="rId53" Type="http://schemas.openxmlformats.org/officeDocument/2006/relationships/hyperlink" Target="http://www.sec.gov/Archives/edgar/data/854775/000110465920054438/tm2018116d1_ex3-1.htm" TargetMode="External"/><Relationship Id="rId54" Type="http://schemas.openxmlformats.org/officeDocument/2006/relationships/hyperlink" Target="http://www.sec.gov/Archives/edgar/data/854775/000110465921132717/tm2131473d1_ex2-1.htm" TargetMode="External"/><Relationship Id="rId55" Type="http://schemas.openxmlformats.org/officeDocument/2006/relationships/hyperlink" Target="http://www.sec.gov/Archives/edgar/data/0000854775/000110465921132717/tm2131473d1_ex10-1.htm" TargetMode="External"/><Relationship Id="rId56" Type="http://schemas.openxmlformats.org/officeDocument/2006/relationships/hyperlink" Target="http://www.sec.gov/Archives/edgar/data/854775/000110465921132717/tm2131473d1_ex10-1.htm" TargetMode="External"/><Relationship Id="rId57" Type="http://schemas.openxmlformats.org/officeDocument/2006/relationships/hyperlink" Target="http://www.sec.gov/Archives/edgar/data/0000854775/000110465922010912/tm22512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2022-08-05T12:49:04Z</dcterms:created>
  <dcterms:modified xsi:type="dcterms:W3CDTF">2022-08-05T12:49:04Z</dcterms:modified>
</cp:coreProperties>
</file>