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 </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 </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August 5,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 </w:t>
      </w:r>
    </w:p>
    <w:p>
      <w:pPr>
        <w:pStyle w:val="TextBody"/>
        <w:bidi w:val="0"/>
        <w:spacing w:lineRule="auto" w:line="288" w:before="60" w:after="283"/>
        <w:jc w:val="center"/>
        <w:rPr>
          <w:rFonts w:ascii="Times New Roman;serif" w:hAnsi="Times New Roman;serif"/>
          <w:b/>
          <w:color w:val="000000"/>
          <w:sz w:val="44"/>
        </w:rPr>
      </w:pPr>
      <w:r>
        <w:rPr>
          <w:rFonts w:ascii="Times New Roman;serif" w:hAnsi="Times New Roman;serif"/>
          <w:b/>
          <w:color w:val="000000"/>
          <w:sz w:val="44"/>
        </w:rPr>
        <w:t>Digi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tbl>
      <w:tblPr>
        <w:tblW w:w="7252" w:type="dxa"/>
        <w:jc w:val="center"/>
        <w:tblInd w:w="0" w:type="dxa"/>
        <w:tblLayout w:type="fixed"/>
        <w:tblCellMar>
          <w:top w:w="28" w:type="dxa"/>
          <w:left w:w="28" w:type="dxa"/>
          <w:bottom w:w="28" w:type="dxa"/>
          <w:right w:w="28" w:type="dxa"/>
        </w:tblCellMar>
      </w:tblPr>
      <w:tblGrid>
        <w:gridCol w:w="684"/>
        <w:gridCol w:w="600"/>
        <w:gridCol w:w="606"/>
        <w:gridCol w:w="109"/>
        <w:gridCol w:w="109"/>
        <w:gridCol w:w="109"/>
        <w:gridCol w:w="652"/>
        <w:gridCol w:w="652"/>
        <w:gridCol w:w="660"/>
        <w:gridCol w:w="109"/>
        <w:gridCol w:w="109"/>
        <w:gridCol w:w="109"/>
        <w:gridCol w:w="802"/>
        <w:gridCol w:w="802"/>
        <w:gridCol w:w="1140"/>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1-34033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41-1532464</w:t>
            </w:r>
          </w:p>
        </w:tc>
      </w:tr>
      <w:tr>
        <w:trPr/>
        <w:tc>
          <w:tcPr>
            <w:tcW w:w="1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41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9350 Excelsior Blvd.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Suite 700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Hopkins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55343</w:t>
            </w:r>
          </w:p>
        </w:tc>
      </w:tr>
      <w:tr>
        <w:trPr/>
        <w:tc>
          <w:tcPr>
            <w:tcW w:w="418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(952) 912-3444</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20" w:after="283"/>
        <w:jc w:val="center"/>
        <w:rPr/>
      </w:pPr>
      <w:r>
        <w:rPr/>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511" w:type="dxa"/>
        <w:jc w:val="left"/>
        <w:tblInd w:w="0" w:type="dxa"/>
        <w:tblLayout w:type="fixed"/>
        <w:tblCellMar>
          <w:top w:w="28" w:type="dxa"/>
          <w:left w:w="28" w:type="dxa"/>
          <w:bottom w:w="28" w:type="dxa"/>
          <w:right w:w="28" w:type="dxa"/>
        </w:tblCellMar>
      </w:tblPr>
      <w:tblGrid>
        <w:gridCol w:w="1090"/>
        <w:gridCol w:w="959"/>
        <w:gridCol w:w="965"/>
        <w:gridCol w:w="109"/>
        <w:gridCol w:w="109"/>
        <w:gridCol w:w="109"/>
        <w:gridCol w:w="454"/>
        <w:gridCol w:w="454"/>
        <w:gridCol w:w="456"/>
        <w:gridCol w:w="109"/>
        <w:gridCol w:w="109"/>
        <w:gridCol w:w="109"/>
        <w:gridCol w:w="1019"/>
        <w:gridCol w:w="1019"/>
        <w:gridCol w:w="1441"/>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DGII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before="0" w:after="0"/>
        <w:jc w:val="center"/>
        <w:rPr/>
      </w:pPr>
      <w:r>
        <w:rPr/>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as defined in Rule 405 of the Securities Act of 1933 (§ 230.405 of this chapter) or Rule 12b-2 of the Securities Exchange Act of 1934 (§ 240.12b-2 of this chapter).</w:t>
      </w:r>
    </w:p>
    <w:p>
      <w:pPr>
        <w:pStyle w:val="TextBody"/>
        <w:bidi w:val="0"/>
        <w:spacing w:lineRule="auto" w:line="288" w:before="0" w:after="0"/>
        <w:ind w:left="0" w:right="0" w:firstLine="495"/>
        <w:jc w:val="righ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4906" w:type="dxa"/>
        <w:jc w:val="left"/>
        <w:tblInd w:w="0" w:type="dxa"/>
        <w:tblLayout w:type="fixed"/>
        <w:tblCellMar>
          <w:top w:w="28" w:type="dxa"/>
          <w:left w:w="28" w:type="dxa"/>
          <w:bottom w:w="28" w:type="dxa"/>
          <w:right w:w="28" w:type="dxa"/>
        </w:tblCellMar>
      </w:tblPr>
      <w:tblGrid>
        <w:gridCol w:w="321"/>
        <w:gridCol w:w="282"/>
        <w:gridCol w:w="283"/>
        <w:gridCol w:w="1176"/>
        <w:gridCol w:w="1176"/>
        <w:gridCol w:w="1668"/>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2.02</w:t>
            </w:r>
          </w:p>
        </w:tc>
        <w:tc>
          <w:tcPr>
            <w:tcW w:w="40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Results of Operations and Financial Condition</w:t>
            </w:r>
            <w:r>
              <w:rPr>
                <w:rFonts w:ascii="Times New Roman;serif" w:hAnsi="Times New Roman;serif"/>
                <w:b w:val="false"/>
                <w:color w:val="000000"/>
                <w:sz w:val="20"/>
              </w:rPr>
              <w:t xml:space="preserve">. </w:t>
            </w:r>
          </w:p>
        </w:tc>
      </w:tr>
    </w:tbl>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August 5, 2026, Digi International Inc. (“Digi”) issued a press release and investor deck regarding Digi’s financial results for its third fiscal quarter ended June 30, 2026. A copy of Digi’s press release is attached hereto as Exhibit 99.1 and a copy of Digi's investor deck as Exhibit 99.2.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Current Report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tbl>
      <w:tblPr>
        <w:tblW w:w="3855" w:type="dxa"/>
        <w:jc w:val="left"/>
        <w:tblInd w:w="0" w:type="dxa"/>
        <w:tblLayout w:type="fixed"/>
        <w:tblCellMar>
          <w:top w:w="28" w:type="dxa"/>
          <w:left w:w="28" w:type="dxa"/>
          <w:bottom w:w="28" w:type="dxa"/>
          <w:right w:w="28" w:type="dxa"/>
        </w:tblCellMar>
      </w:tblPr>
      <w:tblGrid>
        <w:gridCol w:w="321"/>
        <w:gridCol w:w="282"/>
        <w:gridCol w:w="283"/>
        <w:gridCol w:w="868"/>
        <w:gridCol w:w="868"/>
        <w:gridCol w:w="1233"/>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9.01</w:t>
            </w:r>
          </w:p>
        </w:tc>
        <w:tc>
          <w:tcPr>
            <w:tcW w:w="29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Financial Statements and Exhibits</w:t>
            </w:r>
            <w:r>
              <w:rPr>
                <w:rFonts w:ascii="Times New Roman;serif" w:hAnsi="Times New Roman;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280"/>
        <w:gridCol w:w="246"/>
        <w:gridCol w:w="130"/>
        <w:gridCol w:w="109"/>
        <w:gridCol w:w="109"/>
        <w:gridCol w:w="109"/>
        <w:gridCol w:w="2322"/>
        <w:gridCol w:w="2305"/>
        <w:gridCol w:w="2339"/>
        <w:gridCol w:w="109"/>
        <w:gridCol w:w="109"/>
        <w:gridCol w:w="109"/>
        <w:gridCol w:w="579"/>
        <w:gridCol w:w="579"/>
        <w:gridCol w:w="771"/>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Manner of Filing</w:t>
            </w:r>
          </w:p>
        </w:tc>
      </w:tr>
      <w:tr>
        <w:trPr/>
        <w:tc>
          <w:tcPr>
            <w:tcW w:w="5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dgii-ex991_20260805.htm">
              <w:r>
                <w:rPr>
                  <w:rStyle w:val="InternetLink"/>
                  <w:rFonts w:ascii="Times New Roman;serif" w:hAnsi="Times New Roman;serif"/>
                  <w:b w:val="false"/>
                  <w:color w:val="000080"/>
                  <w:sz w:val="20"/>
                  <w:u w:val="single"/>
                </w:rPr>
                <w:t xml:space="preserve">Press Release dated </w:t>
              </w:r>
            </w:hyperlink>
            <w:hyperlink w:anchor="dgii-ex991_20260805.htm">
              <w:r>
                <w:rPr>
                  <w:rStyle w:val="InternetLink"/>
                  <w:rFonts w:ascii="Times New Roman;serif" w:hAnsi="Times New Roman;serif"/>
                  <w:b w:val="false"/>
                  <w:color w:val="000080"/>
                  <w:sz w:val="20"/>
                  <w:u w:val="single"/>
                </w:rPr>
                <w:t>August 5</w:t>
              </w:r>
            </w:hyperlink>
            <w:hyperlink w:anchor="dgii-ex991_20260805.htm">
              <w:r>
                <w:rPr>
                  <w:rStyle w:val="InternetLink"/>
                  <w:rFonts w:ascii="Times New Roman;serif" w:hAnsi="Times New Roman;serif"/>
                  <w:b w:val="false"/>
                  <w:color w:val="000080"/>
                  <w:sz w:val="20"/>
                  <w:u w:val="single"/>
                </w:rPr>
                <w:t xml:space="preserve">, 2026, announcing financial results for the </w:t>
              </w:r>
            </w:hyperlink>
            <w:hyperlink w:anchor="dgii-ex991_20260805.htm">
              <w:r>
                <w:rPr>
                  <w:rStyle w:val="InternetLink"/>
                  <w:rFonts w:ascii="Times New Roman;serif" w:hAnsi="Times New Roman;serif"/>
                  <w:b w:val="false"/>
                  <w:color w:val="000080"/>
                  <w:sz w:val="20"/>
                  <w:u w:val="single"/>
                </w:rPr>
                <w:t>th</w:t>
              </w:r>
            </w:hyperlink>
            <w:hyperlink w:anchor="dgii-ex991_20260805.htm">
              <w:r>
                <w:rPr>
                  <w:rStyle w:val="InternetLink"/>
                  <w:rFonts w:ascii="Times New Roman;serif" w:hAnsi="Times New Roman;serif"/>
                  <w:b w:val="false"/>
                  <w:color w:val="000080"/>
                  <w:sz w:val="20"/>
                  <w:u w:val="single"/>
                </w:rPr>
                <w:t>ir</w:t>
              </w:r>
            </w:hyperlink>
            <w:hyperlink w:anchor="dgii-ex991_20260805.htm">
              <w:r>
                <w:rPr>
                  <w:rStyle w:val="InternetLink"/>
                  <w:rFonts w:ascii="Times New Roman;serif" w:hAnsi="Times New Roman;serif"/>
                  <w:b w:val="false"/>
                  <w:color w:val="000080"/>
                  <w:sz w:val="20"/>
                  <w:u w:val="single"/>
                </w:rPr>
                <w:t xml:space="preserve">d fiscal quarter ended </w:t>
              </w:r>
            </w:hyperlink>
            <w:hyperlink w:anchor="dgii-ex991_20260805.htm">
              <w:r>
                <w:rPr>
                  <w:rStyle w:val="InternetLink"/>
                  <w:rFonts w:ascii="Times New Roman;serif" w:hAnsi="Times New Roman;serif"/>
                  <w:b w:val="false"/>
                  <w:color w:val="000080"/>
                  <w:sz w:val="20"/>
                  <w:u w:val="single"/>
                </w:rPr>
                <w:t>June</w:t>
              </w:r>
            </w:hyperlink>
            <w:hyperlink w:anchor="dgii-ex991_20260805.htm">
              <w:r>
                <w:rPr>
                  <w:rStyle w:val="InternetLink"/>
                  <w:rFonts w:ascii="Times New Roman;serif" w:hAnsi="Times New Roman;serif"/>
                  <w:b w:val="false"/>
                  <w:color w:val="000080"/>
                  <w:sz w:val="20"/>
                  <w:u w:val="single"/>
                </w:rPr>
                <w:t xml:space="preserve"> 3</w:t>
              </w:r>
            </w:hyperlink>
            <w:hyperlink w:anchor="dgii-ex991_20260805.htm">
              <w:r>
                <w:rPr>
                  <w:rStyle w:val="InternetLink"/>
                  <w:rFonts w:ascii="Times New Roman;serif" w:hAnsi="Times New Roman;serif"/>
                  <w:b w:val="false"/>
                  <w:color w:val="000080"/>
                  <w:sz w:val="20"/>
                  <w:u w:val="single"/>
                </w:rPr>
                <w:t>0</w:t>
              </w:r>
            </w:hyperlink>
            <w:hyperlink w:anchor="dgii-ex991_20260805.htm">
              <w:r>
                <w:rPr>
                  <w:rStyle w:val="InternetLink"/>
                  <w:rFonts w:ascii="Times New Roman;serif" w:hAnsi="Times New Roman;serif"/>
                  <w:b w:val="false"/>
                  <w:color w:val="000080"/>
                  <w:sz w:val="20"/>
                  <w:u w:val="single"/>
                </w:rPr>
                <w:t>,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Electronically</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igiq3fy26investordeck.htm">
              <w:r>
                <w:rPr>
                  <w:rStyle w:val="InternetLink"/>
                  <w:rFonts w:ascii="Times New Roman;serif" w:hAnsi="Times New Roman;serif"/>
                  <w:b w:val="false"/>
                  <w:color w:val="0000FF"/>
                  <w:sz w:val="20"/>
                  <w:u w:val="single"/>
                </w:rPr>
                <w:t>Investor Deck dated August 5, 2026, announcing financial results for the third fiscal quarter ended June 30,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Electronically</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the Current Report on Form 8-K formatted in Inline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Electronically</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and Exchange Act of 1934, the registrant has duly caused this report to be signed on its behalf by the undersigned duly authorized.</w:t>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p>
      <w:pPr>
        <w:pStyle w:val="TextBody"/>
        <w:bidi w:val="0"/>
        <w:spacing w:lineRule="auto" w:line="288" w:before="0" w:after="0"/>
        <w:jc w:val="left"/>
        <w:rPr>
          <w:color w:val="000000"/>
        </w:rPr>
      </w:pPr>
      <w:r>
        <w:rPr>
          <w:color w:val="000000"/>
        </w:rPr>
        <w:t> </w:t>
      </w:r>
    </w:p>
    <w:tbl>
      <w:tblPr>
        <w:tblW w:w="6942" w:type="dxa"/>
        <w:jc w:val="left"/>
        <w:tblInd w:w="0" w:type="dxa"/>
        <w:tblLayout w:type="fixed"/>
        <w:tblCellMar>
          <w:top w:w="28" w:type="dxa"/>
          <w:left w:w="28" w:type="dxa"/>
          <w:bottom w:w="28" w:type="dxa"/>
          <w:right w:w="28" w:type="dxa"/>
        </w:tblCellMar>
      </w:tblPr>
      <w:tblGrid>
        <w:gridCol w:w="124"/>
        <w:gridCol w:w="109"/>
        <w:gridCol w:w="109"/>
        <w:gridCol w:w="270"/>
        <w:gridCol w:w="270"/>
        <w:gridCol w:w="270"/>
        <w:gridCol w:w="270"/>
        <w:gridCol w:w="270"/>
        <w:gridCol w:w="270"/>
        <w:gridCol w:w="1454"/>
        <w:gridCol w:w="1454"/>
        <w:gridCol w:w="20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 INTERNATIONAL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J. Loch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J. Loch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1600200" cy="4762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00200" cy="476250"/>
                    </a:xfrm>
                    <a:prstGeom prst="rect">
                      <a:avLst/>
                    </a:prstGeom>
                  </pic:spPr>
                </pic:pic>
              </a:graphicData>
            </a:graphic>
          </wp:inline>
        </w:drawing>
      </w:r>
    </w:p>
    <w:p>
      <w:pPr>
        <w:pStyle w:val="TextBody"/>
        <w:bidi w:val="0"/>
        <w:spacing w:before="0" w:after="0"/>
        <w:jc w:val="left"/>
        <w:rPr/>
      </w:pPr>
      <w:r>
        <w:rPr/>
      </w:r>
    </w:p>
    <w:tbl>
      <w:tblPr>
        <w:tblW w:w="6645" w:type="dxa"/>
        <w:jc w:val="left"/>
        <w:tblInd w:w="0" w:type="dxa"/>
        <w:tblLayout w:type="fixed"/>
        <w:tblCellMar>
          <w:top w:w="28" w:type="dxa"/>
          <w:left w:w="28" w:type="dxa"/>
          <w:bottom w:w="28" w:type="dxa"/>
          <w:right w:w="28" w:type="dxa"/>
        </w:tblCellMar>
      </w:tblPr>
      <w:tblGrid>
        <w:gridCol w:w="2126"/>
        <w:gridCol w:w="1868"/>
        <w:gridCol w:w="2651"/>
      </w:tblGrid>
      <w:tr>
        <w:trPr/>
        <w:tc>
          <w:tcPr>
            <w:tcW w:w="2126"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Digi International Reports Third Fiscal Quarter 2026 Results</w:t>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Record Quarterly Revenue of $139M, Record End of Quarter ARR of $191M</w:t>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Quarterly Cash Flow From Operations of $33M</w:t>
            </w:r>
          </w:p>
        </w:tc>
      </w:tr>
    </w:tbl>
    <w:p>
      <w:pPr>
        <w:pStyle w:val="TextBody"/>
        <w:bidi w:val="0"/>
        <w:spacing w:lineRule="auto" w:line="288" w:before="100" w:after="283"/>
        <w:jc w:val="left"/>
        <w:rPr/>
      </w:pPr>
      <w:r>
        <w:rPr>
          <w:rFonts w:ascii="Times New Roman;serif" w:hAnsi="Times New Roman;serif"/>
          <w:b/>
          <w:color w:val="000000"/>
          <w:sz w:val="20"/>
        </w:rPr>
        <w:t>(Minneapolis, MN, August 5, 2026)</w:t>
      </w:r>
      <w:r>
        <w:rPr>
          <w:color w:val="000000"/>
        </w:rPr>
        <w:t xml:space="preserve"> </w:t>
      </w:r>
      <w:r>
        <w:rPr>
          <w:rFonts w:ascii="Times New Roman;serif" w:hAnsi="Times New Roman;serif"/>
          <w:b w:val="false"/>
          <w:color w:val="000000"/>
          <w:sz w:val="20"/>
        </w:rPr>
        <w:t>- Digi International Inc. ("Digi" or the "Company") (Nasdaq: DGII), a leading global provider of business and mission-critical Internet of Things ("IoT") products, services and solutions, today announced its financial results for its third fiscal quarter ended June 30, 2026.</w:t>
      </w:r>
    </w:p>
    <w:p>
      <w:pPr>
        <w:pStyle w:val="TextBody"/>
        <w:bidi w:val="0"/>
        <w:spacing w:before="100" w:after="283"/>
        <w:jc w:val="left"/>
        <w:rPr/>
      </w:pPr>
      <w:r>
        <w:rPr/>
      </w:r>
    </w:p>
    <w:p>
      <w:pPr>
        <w:pStyle w:val="TextBody"/>
        <w:bidi w:val="0"/>
        <w:spacing w:lineRule="auto" w:line="247" w:before="0" w:after="0"/>
        <w:jc w:val="left"/>
        <w:rPr/>
      </w:pPr>
      <w:r>
        <w:rPr>
          <w:rFonts w:ascii="Times New Roman;serif" w:hAnsi="Times New Roman;serif"/>
          <w:b/>
          <w:color w:val="000000"/>
          <w:sz w:val="20"/>
          <w:u w:val="single"/>
        </w:rPr>
        <w:t>Third Fiscal Quarter 2026 Results Compared to Third Fiscal Quarter 2025 Results</w:t>
      </w:r>
      <w:r>
        <w:rPr>
          <w:rFonts w:ascii="Times New Roman;serif" w:hAnsi="Times New Roman;serif"/>
          <w:b/>
          <w:color w:val="000000"/>
          <w:sz w:val="13"/>
        </w:rPr>
        <w:t>1</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 xml:space="preserve">Revenue was $139 million, an increase of 29%. </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Gross profit margin was 64.8%, an increase of 130 basis points.</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Operating margin was 16.5%, an increase of 260 basis points.</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 xml:space="preserve">Net income was $16 million, an increase of 54%. </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Net income per diluted share was $0.40, an increase of 48%.</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Adjusted net income was $29 million, an increase of 50%.</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shd w:fill="FFFFFF" w:val="clear"/>
        </w:rPr>
        <w:t>•</w:t>
      </w:r>
      <w:r>
        <w:rPr>
          <w:rFonts w:ascii="Times New Roman;serif" w:hAnsi="Times New Roman;serif"/>
          <w:b w:val="false"/>
          <w:color w:val="000000"/>
          <w:sz w:val="20"/>
        </w:rPr>
        <w:t>Adjusted net income per diluted share was $0.75, an increase of 47%.</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shd w:fill="FFFFFF" w:val="clear"/>
        </w:rPr>
        <w:t>•</w:t>
      </w:r>
      <w:r>
        <w:rPr>
          <w:rFonts w:ascii="Times New Roman;serif" w:hAnsi="Times New Roman;serif"/>
          <w:b w:val="false"/>
          <w:color w:val="000000"/>
          <w:sz w:val="20"/>
        </w:rPr>
        <w:t>Adjusted EBITDA was $40 million, an increase of 47%.</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Annualized Recurring Revenue ("ARR") was $191 million at quarter end, an increase of 52%.</w:t>
      </w:r>
    </w:p>
    <w:p>
      <w:pPr>
        <w:pStyle w:val="TextBody"/>
        <w:bidi w:val="0"/>
        <w:spacing w:before="0" w:after="0"/>
        <w:jc w:val="left"/>
        <w:rPr/>
      </w:pPr>
      <w:r>
        <w:rPr/>
      </w:r>
    </w:p>
    <w:p>
      <w:pPr>
        <w:pStyle w:val="TextBody"/>
        <w:bidi w:val="0"/>
        <w:spacing w:lineRule="auto" w:line="247" w:before="0" w:after="0"/>
        <w:jc w:val="left"/>
        <w:rPr>
          <w:rFonts w:ascii="Times New Roman;serif" w:hAnsi="Times New Roman;serif"/>
          <w:b w:val="false"/>
          <w:color w:val="000000"/>
          <w:sz w:val="20"/>
        </w:rPr>
      </w:pPr>
      <w:r>
        <w:rPr>
          <w:rFonts w:ascii="Times New Roman;serif" w:hAnsi="Times New Roman;serif"/>
          <w:b w:val="false"/>
          <w:color w:val="000000"/>
          <w:sz w:val="20"/>
        </w:rPr>
        <w:t>(1) Fiscal 2026 results include the results of Jolt Software, Inc. ("Jolt") for the full quarter and nine-month period and Particle Industries, Inc. ("Particle") following the January 2026 acquisition date. Fiscal 2025 results include Jolt for the period following the August acquisition date and do not include Particle.</w:t>
      </w:r>
    </w:p>
    <w:p>
      <w:pPr>
        <w:pStyle w:val="TextBody"/>
        <w:bidi w:val="0"/>
        <w:spacing w:before="0" w:after="0"/>
        <w:jc w:val="left"/>
        <w:rPr/>
      </w:pPr>
      <w:r>
        <w:rPr/>
      </w:r>
    </w:p>
    <w:p>
      <w:pPr>
        <w:pStyle w:val="TextBody"/>
        <w:bidi w:val="0"/>
        <w:spacing w:lineRule="auto" w:line="247"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Reconciliations of non-GAAP financial measures to their closest GAAP analogs appear at the end of this release, as well as a discussion of recent changes to the method of calculating adjusted net income and adjusted net income per share. </w:t>
      </w:r>
    </w:p>
    <w:p>
      <w:pPr>
        <w:pStyle w:val="TextBody"/>
        <w:bidi w:val="0"/>
        <w:spacing w:before="0" w:after="0"/>
        <w:jc w:val="left"/>
        <w:rPr/>
      </w:pPr>
      <w:r>
        <w:rPr/>
      </w:r>
    </w:p>
    <w:p>
      <w:pPr>
        <w:pStyle w:val="TextBody"/>
        <w:bidi w:val="0"/>
        <w:spacing w:lineRule="auto" w:line="247"/>
        <w:jc w:val="left"/>
        <w:rPr>
          <w:rFonts w:ascii="Times New Roman;serif" w:hAnsi="Times New Roman;serif"/>
          <w:b w:val="false"/>
          <w:color w:val="000000"/>
          <w:sz w:val="20"/>
        </w:rPr>
      </w:pPr>
      <w:r>
        <w:rPr>
          <w:rFonts w:ascii="Times New Roman;serif" w:hAnsi="Times New Roman;serif"/>
          <w:b w:val="false"/>
          <w:color w:val="000000"/>
          <w:sz w:val="20"/>
        </w:rPr>
        <w:t>"Digi set new records for revenue, end of quarter ARR, and profit in our fiscal third quarter," stated Ron Konezny, President and CEO. "Growth in ARR reflects achieving ROI for our customers through remote presence and control over their mission-critical and business-critical assets. Strong execution across the Company is creating operating leverage. Cash generation remained strong in the quarter, further strengthening our balance sheet and enhancing our acquisition flywheel."</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068" w:type="dxa"/>
        <w:jc w:val="center"/>
        <w:tblInd w:w="0" w:type="dxa"/>
        <w:tblLayout w:type="fixed"/>
        <w:tblCellMar>
          <w:top w:w="28" w:type="dxa"/>
          <w:left w:w="28" w:type="dxa"/>
          <w:bottom w:w="28" w:type="dxa"/>
          <w:right w:w="28" w:type="dxa"/>
        </w:tblCellMar>
      </w:tblPr>
      <w:tblGrid>
        <w:gridCol w:w="370"/>
        <w:gridCol w:w="326"/>
        <w:gridCol w:w="326"/>
        <w:gridCol w:w="326"/>
        <w:gridCol w:w="326"/>
        <w:gridCol w:w="326"/>
        <w:gridCol w:w="326"/>
        <w:gridCol w:w="326"/>
        <w:gridCol w:w="326"/>
        <w:gridCol w:w="326"/>
        <w:gridCol w:w="326"/>
        <w:gridCol w:w="326"/>
        <w:gridCol w:w="326"/>
        <w:gridCol w:w="326"/>
        <w:gridCol w:w="460"/>
      </w:tblGrid>
      <w:tr>
        <w:trPr/>
        <w:tc>
          <w:tcPr>
            <w:tcW w:w="37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 International Reports Third Fiscal Quarter 2026 Results</w:t>
            </w:r>
          </w:p>
        </w:tc>
      </w:tr>
    </w:tbl>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Additional Financial Highlights</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Our outstanding debt as of the end of the third quarter was $109 million and our cash and cash equivalents balance was $28 million, resulting in a debt net of cash and cash equivalents of $81 million.</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Cash flow from operations was $33 million in the third quarter of fiscal 2026, compared to $24 million in the third quarter of fiscal 2025. This change was driven primarily by a decrease in deferred income tax benefits, relating to accelerated utilization of tax assets caused by the One Big Beautiful Bill Act.</w:t>
      </w:r>
    </w:p>
    <w:p>
      <w:pPr>
        <w:pStyle w:val="TextBody"/>
        <w:bidi w:val="0"/>
        <w:spacing w:lineRule="auto" w:line="276" w:before="140" w:after="283"/>
        <w:jc w:val="left"/>
        <w:rPr>
          <w:rFonts w:ascii="Times New Roman;serif" w:hAnsi="Times New Roman;serif"/>
          <w:b/>
          <w:color w:val="000000"/>
          <w:sz w:val="20"/>
          <w:u w:val="single"/>
        </w:rPr>
      </w:pPr>
      <w:r>
        <w:rPr>
          <w:rFonts w:ascii="Times New Roman;serif" w:hAnsi="Times New Roman;serif"/>
          <w:b/>
          <w:color w:val="000000"/>
          <w:sz w:val="20"/>
          <w:u w:val="single"/>
        </w:rPr>
        <w:t>Segment Results</w:t>
      </w:r>
    </w:p>
    <w:p>
      <w:pPr>
        <w:pStyle w:val="TextBody"/>
        <w:bidi w:val="0"/>
        <w:spacing w:lineRule="auto" w:line="417" w:before="140" w:after="283"/>
        <w:jc w:val="left"/>
        <w:rPr>
          <w:rFonts w:ascii="Times New Roman;serif" w:hAnsi="Times New Roman;serif"/>
          <w:b/>
          <w:i/>
          <w:color w:val="000000"/>
          <w:sz w:val="20"/>
        </w:rPr>
      </w:pPr>
      <w:r>
        <w:rPr>
          <w:rFonts w:ascii="Times New Roman;serif" w:hAnsi="Times New Roman;serif"/>
          <w:b/>
          <w:i/>
          <w:color w:val="000000"/>
          <w:sz w:val="20"/>
        </w:rPr>
        <w:t>IoT Product &amp; Services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segment's third fiscal quarter 2026 revenue of $100 million increased 25% compared to the same period in the prior fiscal year. This consisted of a $12.4 million increase in one-time sales and $7.4 million of recurring revenue growth, with no material impact from pricing. A significant majority of the increase in revenue was driven by organic growth from increased customer demand and supported by the Particle acquisition. ARR as of the end of the third fiscal quarter was $60 million, an increase of 100% from the end of the third fiscal quarter of 2025. This increase was driven primarily by the acquisition of Particle and supported by growth in the subscription base across remote management platforms, extended warranty offerings and technical support. Operating margin increased 160 basis points to 16.8% of revenue for the third fiscal quarter of 2026, was primarily due to heightened inventory-related costs in the prior year that did not repeat and improved operating expense efficiencies as volume expanded at a greater rate than operating expenses.</w:t>
      </w:r>
    </w:p>
    <w:p>
      <w:pPr>
        <w:pStyle w:val="TextBody"/>
        <w:bidi w:val="0"/>
        <w:spacing w:lineRule="auto" w:line="417" w:before="140" w:after="283"/>
        <w:jc w:val="left"/>
        <w:rPr>
          <w:rFonts w:ascii="Times New Roman;serif" w:hAnsi="Times New Roman;serif"/>
          <w:b/>
          <w:i/>
          <w:color w:val="000000"/>
          <w:sz w:val="20"/>
        </w:rPr>
      </w:pPr>
      <w:r>
        <w:rPr>
          <w:rFonts w:ascii="Times New Roman;serif" w:hAnsi="Times New Roman;serif"/>
          <w:b/>
          <w:i/>
          <w:color w:val="000000"/>
          <w:sz w:val="20"/>
        </w:rPr>
        <w:t>IoT Solutions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segment's third fiscal quarter 2026 revenue of $39 million increased 41%, as compared to the same period in the prior fiscal year. The increase consisted of an $8.9 million increase in recurring revenue and a $2.5 million increase in one-time sales, with the significant majority of both driven by the Jolt acquisition. ARR as of the end of the third fiscal quarter was $131 million, an increase of 36% from the end of the third fiscal quarter of 2025, driven by the acquisition of Jolt, as well as growth in our existing Solutions businesses. Operating margins increased 570 basis points to 15.7% in the third fiscal quarter of 2026 compared to the prior fiscal year. This increase was the result of improved operating expense efficiencies as volume expanded at a greater rate than operating expenses.</w:t>
      </w:r>
    </w:p>
    <w:p>
      <w:pPr>
        <w:pStyle w:val="TextBody"/>
        <w:bidi w:val="0"/>
        <w:spacing w:lineRule="auto" w:line="26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Capital Allocation Strategy </w:t>
      </w:r>
    </w:p>
    <w:p>
      <w:pPr>
        <w:pStyle w:val="TextBody"/>
        <w:bidi w:val="0"/>
        <w:spacing w:lineRule="auto" w:line="244" w:before="160" w:after="283"/>
        <w:jc w:val="left"/>
        <w:rPr>
          <w:rFonts w:ascii="Times New Roman;serif" w:hAnsi="Times New Roman;serif"/>
          <w:b w:val="false"/>
          <w:color w:val="000000"/>
          <w:sz w:val="20"/>
        </w:rPr>
      </w:pPr>
      <w:r>
        <w:rPr>
          <w:rFonts w:ascii="Times New Roman;serif" w:hAnsi="Times New Roman;serif"/>
          <w:b w:val="false"/>
          <w:color w:val="000000"/>
          <w:sz w:val="20"/>
        </w:rPr>
        <w:t>We intend to continue to deleverage the Company's balance sheet.</w:t>
      </w:r>
    </w:p>
    <w:p>
      <w:pPr>
        <w:pStyle w:val="TextBody"/>
        <w:bidi w:val="0"/>
        <w:spacing w:lineRule="auto" w:line="244" w:before="160" w:after="283"/>
        <w:jc w:val="left"/>
        <w:rPr>
          <w:rFonts w:ascii="Times New Roman;serif" w:hAnsi="Times New Roman;serif"/>
          <w:b w:val="false"/>
          <w:color w:val="000000"/>
          <w:sz w:val="20"/>
        </w:rPr>
      </w:pPr>
      <w:r>
        <w:rPr>
          <w:rFonts w:ascii="Times New Roman;serif" w:hAnsi="Times New Roman;serif"/>
          <w:b w:val="false"/>
          <w:color w:val="000000"/>
          <w:sz w:val="20"/>
        </w:rPr>
        <w:t>Acquisitions remain a top capital priority for Digi as reflected by our acquisition of Particle announced on January 27.</w:t>
      </w:r>
    </w:p>
    <w:p>
      <w:pPr>
        <w:pStyle w:val="TextBody"/>
        <w:bidi w:val="0"/>
        <w:spacing w:lineRule="auto" w:line="244" w:before="160" w:after="283"/>
        <w:jc w:val="left"/>
        <w:rPr>
          <w:rFonts w:ascii="Times New Roman;serif" w:hAnsi="Times New Roman;serif"/>
          <w:b w:val="false"/>
          <w:color w:val="000000"/>
          <w:sz w:val="20"/>
        </w:rPr>
      </w:pPr>
      <w:r>
        <w:rPr>
          <w:rFonts w:ascii="Times New Roman;serif" w:hAnsi="Times New Roman;serif"/>
          <w:b w:val="false"/>
          <w:color w:val="000000"/>
          <w:sz w:val="20"/>
        </w:rPr>
        <w:t>We will continue to be disciplined in our approach and act when we believe an opportunity is appropriate to execute in the context of prevailing market conditions.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5068" w:type="dxa"/>
        <w:jc w:val="center"/>
        <w:tblInd w:w="0" w:type="dxa"/>
        <w:tblLayout w:type="fixed"/>
        <w:tblCellMar>
          <w:top w:w="28" w:type="dxa"/>
          <w:left w:w="28" w:type="dxa"/>
          <w:bottom w:w="28" w:type="dxa"/>
          <w:right w:w="28" w:type="dxa"/>
        </w:tblCellMar>
      </w:tblPr>
      <w:tblGrid>
        <w:gridCol w:w="370"/>
        <w:gridCol w:w="326"/>
        <w:gridCol w:w="326"/>
        <w:gridCol w:w="326"/>
        <w:gridCol w:w="326"/>
        <w:gridCol w:w="326"/>
        <w:gridCol w:w="326"/>
        <w:gridCol w:w="326"/>
        <w:gridCol w:w="326"/>
        <w:gridCol w:w="326"/>
        <w:gridCol w:w="326"/>
        <w:gridCol w:w="326"/>
        <w:gridCol w:w="326"/>
        <w:gridCol w:w="326"/>
        <w:gridCol w:w="460"/>
      </w:tblGrid>
      <w:tr>
        <w:trPr/>
        <w:tc>
          <w:tcPr>
            <w:tcW w:w="37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 International Reports Third Fiscal Quarter 2026 Results</w:t>
            </w:r>
          </w:p>
        </w:tc>
      </w:tr>
    </w:tbl>
    <w:p>
      <w:pPr>
        <w:pStyle w:val="TextBody"/>
        <w:bidi w:val="0"/>
        <w:spacing w:lineRule="auto" w:line="26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Fourth Fiscal Quarter &amp; Full Year Fiscal 2026 Guidance</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The shift toward software-driven connected operations continues to generate durable demand for hardware-enabled software solutions that support our customers' most critical business needs. Legacy "set it and forget it" infrastructure increasingly fails to meet the operational, regulatory, and competitive demands organizations face today. Customers across industrial, infrastructure, and enterprise markets are prioritizing connectivity, intelligence at the edge, and software capabilities as fundamental enablers of their strategic roadmaps. With industrial activity strengthening broadly and investment accelerating across automation, energy, and data infrastructure, customers are treating these capabilities as essential infrastructure rather than discretionary spending. Digi is well-positioned to capture that demand, even as we manage an evolving global trade framework and rising component costs — most notably memory — through disciplined pricing, supply-chain agility, and the resilience of our recurring revenue model.</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Our focus is on solutions that generate recurring revenue streams and create compounding value for customers well beyond the initial device purchase. The performance we are reporting today, and our raised outlook for the year, reflects the benefits of this model, which insulates our margin structure in ways purely hardware-dependent businesses cannot match. ARR growth, margin expansion, and customer retention trends all reinforce our confidence in achieving $200 million in both ARR and Adjusted EBITDA within our targeted time horizon. Strategic acquisitions aligned with these objectives remain a tool to accelerate our path.</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For fiscal 2026, we now anticipate ARR growth of at least 27% versus fiscal 2025, up from our prior guidance of growth of 25%. Revenue is estimated to be $529 million to $533 million for fiscal 2026, representing growth of 23-24% versus fiscal 2025, up from our prior guidance of growth of 20-22%. Adjusted EBITDA is estimated to be $146.0 million to $147.5 million, representing growth of 35-36% versus fiscal 2025, up from our prior guidance of growth of 23-26%.</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For the fourth fiscal quarter, revenues are estimated to be $138 million to $142 million. Adjusted EBITDA is estimated to be between $40.0 and $41.5 million. Beginning in fiscal 2026, our adjusted net income per diluted share metric includes interest expense. Prior period figures have been recast for comparability. Adjusted net income per diluted share is anticipated to be between $0.75 and $0.78 per diluted share, assuming a weighted average diluted share count of 39.1 million. This includes an expected impact from interest between $0.02 and $0.03 per diluted share.</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We provide guidance or longer-term targets for Adjusted net income per share as well as Adjusted EBITDA targets on a non-GAAP basis. We do not reconcile these items to their most comparable U.S. GAAP measure as it is not possible to predict without unreasonable efforts numerous items that include but are not limited to the impact of foreign exchange translation, restructuring, interest and certain tax-related events. Given the uncertainty, any of these items could have a significant impact on U.S. GAAP results.</w:t>
      </w:r>
    </w:p>
    <w:p>
      <w:pPr>
        <w:pStyle w:val="TextBody"/>
        <w:bidi w:val="0"/>
        <w:spacing w:lineRule="auto" w:line="244" w:before="160" w:after="283"/>
        <w:jc w:val="left"/>
        <w:rPr>
          <w:rFonts w:ascii="Times New Roman;serif" w:hAnsi="Times New Roman;serif"/>
          <w:b/>
          <w:color w:val="000000"/>
          <w:sz w:val="20"/>
          <w:u w:val="single"/>
        </w:rPr>
      </w:pPr>
      <w:r>
        <w:rPr>
          <w:rFonts w:ascii="Times New Roman;serif" w:hAnsi="Times New Roman;serif"/>
          <w:b/>
          <w:color w:val="000000"/>
          <w:sz w:val="20"/>
          <w:u w:val="single"/>
        </w:rPr>
        <w:t>Third Fiscal Quarter 2026 Video Conference Call Details</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announced on July 7, 2026, Digi will discuss its third fiscal quarter results on a video conference call on Wednesday, August 5, 2026 at approximately 5:00 p.m. ET (4:00 p.m. CT). The call will be hosted by Ron Konezny, President and Chief Executive Officer and Jamie Loch, Chief Financial Officer. </w:t>
      </w:r>
    </w:p>
    <w:p>
      <w:pPr>
        <w:pStyle w:val="TextBody"/>
        <w:bidi w:val="0"/>
        <w:spacing w:lineRule="auto" w:line="288" w:before="140" w:after="283"/>
        <w:jc w:val="left"/>
        <w:rPr/>
      </w:pPr>
      <w:r>
        <w:rPr>
          <w:rFonts w:ascii="Times New Roman;serif" w:hAnsi="Times New Roman;serif"/>
          <w:b w:val="false"/>
          <w:color w:val="000000"/>
          <w:sz w:val="20"/>
        </w:rPr>
        <w:t xml:space="preserve">Participants may register for the video conference call at: </w:t>
      </w:r>
      <w:r>
        <w:rPr>
          <w:rFonts w:ascii="Times New Roman;serif" w:hAnsi="Times New Roman;serif"/>
          <w:b w:val="false"/>
          <w:color w:val="000000"/>
          <w:sz w:val="20"/>
          <w:u w:val="single"/>
        </w:rPr>
        <w:t>https://register-conf.media-server.com/register/BI31bab22d020441949bd463d2db180804</w:t>
      </w:r>
      <w:r>
        <w:rPr>
          <w:rFonts w:ascii="Times New Roman;serif" w:hAnsi="Times New Roman;serif"/>
          <w:b w:val="false"/>
          <w:color w:val="000000"/>
          <w:sz w:val="20"/>
        </w:rPr>
        <w:t xml:space="preserve">. Once registration is completed, participants will be provided a dial in number and passcode to access the call. All participants are asked to dial-in 15 minutes prior to the start time. </w:t>
      </w:r>
    </w:p>
    <w:p>
      <w:pPr>
        <w:pStyle w:val="TextBody"/>
        <w:bidi w:val="0"/>
        <w:spacing w:lineRule="auto" w:line="288" w:before="140" w:after="283"/>
        <w:jc w:val="left"/>
        <w:rPr/>
      </w:pPr>
      <w:r>
        <w:rPr>
          <w:rFonts w:ascii="Times New Roman;serif" w:hAnsi="Times New Roman;serif"/>
          <w:b w:val="false"/>
          <w:color w:val="000000"/>
          <w:sz w:val="20"/>
        </w:rPr>
        <w:t xml:space="preserve">Participants may access a live webcast of the video conference call through the investor relations section of Digi’s website, </w:t>
      </w:r>
      <w:r>
        <w:rPr>
          <w:rFonts w:ascii="Times New Roman;serif" w:hAnsi="Times New Roman;serif"/>
          <w:b w:val="false"/>
          <w:color w:val="000000"/>
          <w:sz w:val="20"/>
          <w:u w:val="single"/>
        </w:rPr>
        <w:t>https://digi.gcs-web.com</w:t>
      </w:r>
      <w:r>
        <w:rPr>
          <w:rFonts w:ascii="Times New Roman;serif" w:hAnsi="Times New Roman;serif"/>
          <w:b w:val="false"/>
          <w:color w:val="000000"/>
          <w:sz w:val="20"/>
        </w:rPr>
        <w:t xml:space="preserve">/ or the hosting website at: </w:t>
      </w:r>
      <w:r>
        <w:rPr>
          <w:rFonts w:ascii="Times New Roman;serif" w:hAnsi="Times New Roman;serif"/>
          <w:b w:val="false"/>
          <w:color w:val="000000"/>
          <w:sz w:val="20"/>
          <w:u w:val="single"/>
        </w:rPr>
        <w:t>https://edge.media-server.com/mmc/p/nmm55mxb/</w:t>
      </w:r>
      <w:r>
        <w:rPr>
          <w:rFonts w:ascii="Times New Roman;serif" w:hAnsi="Times New Roman;serif"/>
          <w:b w:val="false"/>
          <w:color w:val="000000"/>
          <w:sz w:val="20"/>
        </w:rPr>
        <w:t>.</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A replay will be available within approximately two hours after the completion of the call for approximately one year. You may access the replay via webcast through the investor relations section of Digi’s website.</w:t>
      </w:r>
    </w:p>
    <w:p>
      <w:pPr>
        <w:pStyle w:val="TextBody"/>
        <w:bidi w:val="0"/>
        <w:spacing w:lineRule="auto" w:line="288" w:before="140" w:after="283"/>
        <w:jc w:val="left"/>
        <w:rPr/>
      </w:pPr>
      <w:r>
        <w:rPr>
          <w:rFonts w:ascii="Times New Roman;serif" w:hAnsi="Times New Roman;serif"/>
          <w:b w:val="false"/>
          <w:color w:val="000000"/>
          <w:sz w:val="20"/>
        </w:rPr>
        <w:t xml:space="preserve">A copy of this earnings release can be accessed through the financial releases page of the investor relations section of Digi's website at </w:t>
      </w:r>
      <w:r>
        <w:rPr>
          <w:rFonts w:ascii="Times New Roman;serif" w:hAnsi="Times New Roman;serif"/>
          <w:b w:val="false"/>
          <w:color w:val="000000"/>
          <w:sz w:val="20"/>
          <w:u w:val="single"/>
        </w:rPr>
        <w:t>www.digi.com</w:t>
      </w:r>
      <w:r>
        <w:rPr>
          <w:rFonts w:ascii="Times New Roman;serif" w:hAnsi="Times New Roman;serif"/>
          <w:b w:val="false"/>
          <w:color w:val="000000"/>
          <w:sz w:val="20"/>
        </w:rPr>
        <w:t>.</w:t>
      </w:r>
    </w:p>
    <w:p>
      <w:pPr>
        <w:pStyle w:val="TextBody"/>
        <w:bidi w:val="0"/>
        <w:spacing w:lineRule="auto" w:line="288" w:before="140" w:after="283"/>
        <w:jc w:val="left"/>
        <w:rPr/>
      </w:pPr>
      <w:r>
        <w:rPr>
          <w:rFonts w:ascii="Times New Roman;serif" w:hAnsi="Times New Roman;serif"/>
          <w:b w:val="false"/>
          <w:color w:val="000000"/>
          <w:sz w:val="20"/>
        </w:rPr>
        <w:t xml:space="preserve">For more news and information on us, please visit </w:t>
      </w:r>
      <w:r>
        <w:rPr>
          <w:rFonts w:ascii="Times New Roman;serif" w:hAnsi="Times New Roman;serif"/>
          <w:b w:val="false"/>
          <w:color w:val="000000"/>
          <w:sz w:val="20"/>
          <w:u w:val="single"/>
        </w:rPr>
        <w:t>www.digi.com/aboutus/investorrelations</w:t>
      </w:r>
      <w:r>
        <w:rPr>
          <w:rFonts w:ascii="Times New Roman;serif" w:hAnsi="Times New Roman;serif"/>
          <w:b w:val="false"/>
          <w:color w:val="000000"/>
          <w:sz w:val="20"/>
        </w:rPr>
        <w:t>.</w:t>
      </w:r>
    </w:p>
    <w:p>
      <w:pPr>
        <w:pStyle w:val="TextBody"/>
        <w:bidi w:val="0"/>
        <w:spacing w:lineRule="auto" w:line="288" w:before="140" w:after="283"/>
        <w:jc w:val="left"/>
        <w:rPr>
          <w:rFonts w:ascii="Times New Roman;serif" w:hAnsi="Times New Roman;serif"/>
          <w:b/>
          <w:color w:val="000000"/>
          <w:sz w:val="20"/>
          <w:u w:val="single"/>
        </w:rPr>
      </w:pPr>
      <w:r>
        <w:rPr>
          <w:rFonts w:ascii="Times New Roman;serif" w:hAnsi="Times New Roman;serif"/>
          <w:b/>
          <w:color w:val="000000"/>
          <w:sz w:val="20"/>
          <w:u w:val="single"/>
        </w:rPr>
        <w:t>About Digi International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Digi International Inc. (Nasdaq: DGII) is a leading global provider of IoT connectivity products, services and solutions. We help our customers create next-generation connected products and deploy and manage critical communications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5068" w:type="dxa"/>
        <w:jc w:val="center"/>
        <w:tblInd w:w="0" w:type="dxa"/>
        <w:tblLayout w:type="fixed"/>
        <w:tblCellMar>
          <w:top w:w="28" w:type="dxa"/>
          <w:left w:w="28" w:type="dxa"/>
          <w:bottom w:w="28" w:type="dxa"/>
          <w:right w:w="28" w:type="dxa"/>
        </w:tblCellMar>
      </w:tblPr>
      <w:tblGrid>
        <w:gridCol w:w="370"/>
        <w:gridCol w:w="326"/>
        <w:gridCol w:w="326"/>
        <w:gridCol w:w="326"/>
        <w:gridCol w:w="326"/>
        <w:gridCol w:w="326"/>
        <w:gridCol w:w="326"/>
        <w:gridCol w:w="326"/>
        <w:gridCol w:w="326"/>
        <w:gridCol w:w="326"/>
        <w:gridCol w:w="326"/>
        <w:gridCol w:w="326"/>
        <w:gridCol w:w="326"/>
        <w:gridCol w:w="326"/>
        <w:gridCol w:w="460"/>
      </w:tblGrid>
      <w:tr>
        <w:trPr/>
        <w:tc>
          <w:tcPr>
            <w:tcW w:w="37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 International Reports Third Fiscal Quarter 2026 Results</w:t>
            </w:r>
          </w:p>
        </w:tc>
      </w:tr>
    </w:tbl>
    <w:p>
      <w:pPr>
        <w:pStyle w:val="TextBody"/>
        <w:bidi w:val="0"/>
        <w:spacing w:lineRule="auto" w:line="288" w:before="200" w:after="283"/>
        <w:jc w:val="left"/>
        <w:rPr/>
      </w:pPr>
      <w:r>
        <w:rPr>
          <w:rFonts w:ascii="Times New Roman;serif" w:hAnsi="Times New Roman;serif"/>
          <w:b w:val="false"/>
          <w:color w:val="000000"/>
          <w:sz w:val="20"/>
        </w:rPr>
        <w:t xml:space="preserve">infrastructures in demanding environments with high levels of security and reliability. Founded in 1985, we’ve helped our customers connect over 100 million things and growing. For more information, visit Digi's website at </w:t>
      </w:r>
      <w:r>
        <w:rPr>
          <w:rFonts w:ascii="Times New Roman;serif" w:hAnsi="Times New Roman;serif"/>
          <w:b w:val="false"/>
          <w:color w:val="000000"/>
          <w:sz w:val="20"/>
          <w:u w:val="single"/>
        </w:rPr>
        <w:t>www.digi.com</w:t>
      </w:r>
      <w:r>
        <w:rPr>
          <w:rFonts w:ascii="Times New Roman;serif" w:hAnsi="Times New Roman;serif"/>
          <w:b w:val="false"/>
          <w:color w:val="000000"/>
          <w:sz w:val="20"/>
        </w:rPr>
        <w:t>.</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lineRule="auto" w:line="276" w:before="0" w:after="0"/>
        <w:jc w:val="left"/>
        <w:rPr/>
      </w:pPr>
      <w:r>
        <w:rPr>
          <w:rFonts w:ascii="Times New Roman;serif" w:hAnsi="Times New Roman;serif"/>
          <w:b w:val="false"/>
          <w:i/>
          <w:color w:val="000000"/>
          <w:sz w:val="20"/>
        </w:rPr>
        <w:t>This press release contains "forward-looking statements" as that term is defined under the Private Securities Litigation Reform Act of 1995, and within the meaning of Section 27A of the Securities Act of 1933, as amended, and Section 21E of the Securities Exchange Act of 1934, as amended, that are based on management’s current expectations and assumptions. These statements often can be identified by the use of forward-looking terminology such as "assume," "believe," "continue," "estimate," "expect," "intend," "may," "remain," "plan," "potential," "project," "should," or "will" or the negative thereof or other variations thereon or similar terminology.</w:t>
      </w:r>
      <w:r>
        <w:rPr>
          <w:color w:val="000000"/>
        </w:rPr>
        <w:t xml:space="preserve"> </w:t>
      </w:r>
      <w:r>
        <w:rPr>
          <w:rFonts w:ascii="Times New Roman;serif" w:hAnsi="Times New Roman;serif"/>
          <w:b w:val="false"/>
          <w:i/>
          <w:color w:val="000000"/>
          <w:sz w:val="20"/>
        </w:rPr>
        <w:t>Among other items, these statements relate to expectations of the business environment in which Digi operates, projections of future performance, including but not limited to expectations regarding the Company’s profitability and net cash position, inventory levels, perceived marketplace opportunities, debt repayments, attributions of actual or potential acquisitions and statements regarding our mission and vision. Such statements are not guarantees of future performance and involve certain risks, uncertainties and assumptions. Among others, these include risks related to our ability to realize synergies and operating benefits from completed acquisitions (like our recent acquisitions of Jolt completed in August 2025, and Particle completed in January 2026), ongoing and varying inflationary and deflationary pressures around the world and the monetary, fiscal and trade policies of governments globally as well as present and ongoing concerns about a potential economic slowdown, the potential for longer than expected sales cycles, the ability of companies like us to operate a global business in such conditions as well as negative effects on product demand and the financial solvency of customers and suppliers in such conditions, risks related to ongoing supply chain challenges, regulatory risks that include, but are not limited to, the potential expansion of tariffs and potential changes to regulations impacting the functionality or compliance of our products, risks related to cybersecurity, data breaches and data privacy, risks arising from military conflicts such as those in Ukraine, the Middle East,and geopolitical tensions including those involving China and Taiwan, the highly competitive market in which we operate, rapid changes in technologies that may displace products sold by us, declining prices of networking products, our reliance on distributors and other third parties to sell our products, the potential for significant purchase orders to be canceled or changed, delays in product development efforts, uncertainty in user acceptance of our products, the ability to integrate our products and services with those of other parties in a commercially accepted manner, potential liabilities that can arise if any of our products have design or manufacturing defects, our ability to defend or settle satisfactorily any litigation, the impact of natural disasters and other events beyond our control that could negatively impact our supply chain and customers, potential unintended consequences associated with restructuring, reorganizations or other similar business initiatives that may impact our ability to retain important employees or otherwise impact our operations in unintended and adverse ways, and changes in our level of revenue or profitability which can fluctuate for many reasons beyond our control. These and other risks, uncertainties and assumptions identified from time to time in our filings with the United States Securities and Exchange Commission, including without limitation, those set forth in Item 1A, Risk Factors, of our Annual Report on Form 10-K for the year ended September 30, 2025, and any other subsequent filings, could cause our actual results to differ materially from those expressed in any forward-looking statements made by us or on our behalf. Many of such factors are beyond our ability to control or predict. These forward-looking statements speak only as of the date for which they are made. Except to the extent required by law, we do not undertake, and expressly disclaim, any intent or obligation to update any forward-looking statements, whether as a result of new information, future events or otherwise.</w:t>
      </w:r>
    </w:p>
    <w:p>
      <w:pPr>
        <w:pStyle w:val="TextBody"/>
        <w:bidi w:val="0"/>
        <w:spacing w:before="20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5068" w:type="dxa"/>
        <w:jc w:val="center"/>
        <w:tblInd w:w="0" w:type="dxa"/>
        <w:tblLayout w:type="fixed"/>
        <w:tblCellMar>
          <w:top w:w="28" w:type="dxa"/>
          <w:left w:w="28" w:type="dxa"/>
          <w:bottom w:w="28" w:type="dxa"/>
          <w:right w:w="28" w:type="dxa"/>
        </w:tblCellMar>
      </w:tblPr>
      <w:tblGrid>
        <w:gridCol w:w="370"/>
        <w:gridCol w:w="326"/>
        <w:gridCol w:w="326"/>
        <w:gridCol w:w="326"/>
        <w:gridCol w:w="326"/>
        <w:gridCol w:w="326"/>
        <w:gridCol w:w="326"/>
        <w:gridCol w:w="326"/>
        <w:gridCol w:w="326"/>
        <w:gridCol w:w="326"/>
        <w:gridCol w:w="326"/>
        <w:gridCol w:w="326"/>
        <w:gridCol w:w="326"/>
        <w:gridCol w:w="326"/>
        <w:gridCol w:w="460"/>
      </w:tblGrid>
      <w:tr>
        <w:trPr/>
        <w:tc>
          <w:tcPr>
            <w:tcW w:w="37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 International Reports Third Fiscal Quarter 2026 Results</w:t>
            </w:r>
          </w:p>
        </w:tc>
      </w:tr>
    </w:tbl>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Presentation of Non-GAAP Financial Measures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release includes adjusted net income, adjusted net income per diluted share and Adjusted EBITDA (defined below), each of which is a non-GAAP measure. </w:t>
      </w:r>
    </w:p>
    <w:p>
      <w:pPr>
        <w:pStyle w:val="TextBody"/>
        <w:bidi w:val="0"/>
        <w:spacing w:lineRule="auto" w:line="26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During the first fiscal quarter of 2026, Digi modified its method of calculating adjusted net income and adjusted net income per share to include the impact of interest expense. This change was primarily driven by the continued use of financing by the Company to fund cash flow needs and therefore including the recurring nature of interest presents a better metric by which management believes provides a more representative view of operating performance and cash-generating capability. Accordingly, we evaluated the impact of this change on prior-period disclosures and have recast adjusted net income and adjusted net income per share for all periods to conform to this presentation.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We understand that there are material limitations on the use of non-GAAP measures. Non-GAAP measures are not substitutes for GAAP measures, such as net income, for the purpose of analyzing financial performance. The disclosure of these measures does not reflect all charges and gains that actually were recognized by Digi. These non-GAAP measures are not in accordance with, or an alternative for measures prepared in accordance with, generally accepted accounting principles and may be different from non-GAAP measures used by other companies or presented by us in prior reports.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We believe these measures should only be used to evaluate our results of operations in conjunction with the corresponding GAAP measures. Additionally, Adjusted EBITDA and Adjusted EBITDA Margin do not reflect our cash expenditures, the cash requirements for the replacement of depreciated and amortized assets, or changes in or cash requirements for our working capital needs.</w:t>
      </w:r>
    </w:p>
    <w:p>
      <w:pPr>
        <w:pStyle w:val="TextBody"/>
        <w:bidi w:val="0"/>
        <w:spacing w:lineRule="auto" w:line="276"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We believe that providing historical and adjusted net income and adjusted net income per diluted share, respectively, exclusive of such items as reversals of tax reserves, discrete tax benefits, restructuring charges and reversals, intangible amortization, stock-based compensation, other non-operating income/expense and acquisition-related expenses related to acquisitions permits investors to compare results with prior periods that did not include these items. Management uses the aforementioned non-GAAP measures to monitor and evaluate ongoing operating results and trends and to gain an understanding of our comparative operating performance. In addition, certain of our stockholders have expressed an interest in seeing financial performance measures exclusive of the impact of these matters, which while important, are not central to the core operations of our business. Management believes that "Adjusted EBITDA", defined as EBITDA adjusted for stock-based compensation expense, acquisition-related expenses and restructuring charges and reversals is useful to investors to evaluate our core operating results and financial performance because it excludes items that are significant non-cash or non-recurring items reflected in the Condensed Consolidated Statements of Operations. We believe that presenting Adjusted EBITDA as a percentage of revenue (i.e., Adjusted EBITDA Margin) is useful because it provides a reliable and consistent approach to measuring our performance year over year and in assessing our performance against that of other companies. We believe this information helps compare operating results and corporate performance exclusive of the impact of our capital structure and the method by which assets were acquired. </w:t>
      </w:r>
    </w:p>
    <w:p>
      <w:pPr>
        <w:pStyle w:val="TextBody"/>
        <w:bidi w:val="0"/>
        <w:spacing w:before="20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5068" w:type="dxa"/>
        <w:jc w:val="center"/>
        <w:tblInd w:w="0" w:type="dxa"/>
        <w:tblLayout w:type="fixed"/>
        <w:tblCellMar>
          <w:top w:w="28" w:type="dxa"/>
          <w:left w:w="28" w:type="dxa"/>
          <w:bottom w:w="28" w:type="dxa"/>
          <w:right w:w="28" w:type="dxa"/>
        </w:tblCellMar>
      </w:tblPr>
      <w:tblGrid>
        <w:gridCol w:w="370"/>
        <w:gridCol w:w="326"/>
        <w:gridCol w:w="326"/>
        <w:gridCol w:w="326"/>
        <w:gridCol w:w="326"/>
        <w:gridCol w:w="326"/>
        <w:gridCol w:w="326"/>
        <w:gridCol w:w="326"/>
        <w:gridCol w:w="326"/>
        <w:gridCol w:w="326"/>
        <w:gridCol w:w="326"/>
        <w:gridCol w:w="326"/>
        <w:gridCol w:w="326"/>
        <w:gridCol w:w="326"/>
        <w:gridCol w:w="460"/>
      </w:tblGrid>
      <w:tr>
        <w:trPr/>
        <w:tc>
          <w:tcPr>
            <w:tcW w:w="37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 International Reports Third Fiscal Quarter 2026 Results</w:t>
            </w:r>
          </w:p>
        </w:tc>
      </w:tr>
    </w:tbl>
    <w:p>
      <w:pPr>
        <w:pStyle w:val="TextBody"/>
        <w:bidi w:val="0"/>
        <w:spacing w:before="20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 Contact:</w:t>
      </w:r>
    </w:p>
    <w:tbl>
      <w:tblPr>
        <w:tblW w:w="3234" w:type="dxa"/>
        <w:jc w:val="center"/>
        <w:tblInd w:w="0" w:type="dxa"/>
        <w:tblLayout w:type="fixed"/>
        <w:tblCellMar>
          <w:top w:w="28" w:type="dxa"/>
          <w:left w:w="28" w:type="dxa"/>
          <w:bottom w:w="28" w:type="dxa"/>
          <w:right w:w="28" w:type="dxa"/>
        </w:tblCellMar>
      </w:tblPr>
      <w:tblGrid>
        <w:gridCol w:w="918"/>
        <w:gridCol w:w="807"/>
        <w:gridCol w:w="810"/>
        <w:gridCol w:w="109"/>
        <w:gridCol w:w="109"/>
        <w:gridCol w:w="109"/>
        <w:gridCol w:w="109"/>
        <w:gridCol w:w="109"/>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 Bennett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Investor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 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952-912-3524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Email: rob.bennett@digi.com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5068" w:type="dxa"/>
        <w:jc w:val="center"/>
        <w:tblInd w:w="0" w:type="dxa"/>
        <w:tblLayout w:type="fixed"/>
        <w:tblCellMar>
          <w:top w:w="28" w:type="dxa"/>
          <w:left w:w="28" w:type="dxa"/>
          <w:bottom w:w="28" w:type="dxa"/>
          <w:right w:w="28" w:type="dxa"/>
        </w:tblCellMar>
      </w:tblPr>
      <w:tblGrid>
        <w:gridCol w:w="370"/>
        <w:gridCol w:w="326"/>
        <w:gridCol w:w="326"/>
        <w:gridCol w:w="326"/>
        <w:gridCol w:w="326"/>
        <w:gridCol w:w="326"/>
        <w:gridCol w:w="326"/>
        <w:gridCol w:w="326"/>
        <w:gridCol w:w="326"/>
        <w:gridCol w:w="326"/>
        <w:gridCol w:w="326"/>
        <w:gridCol w:w="326"/>
        <w:gridCol w:w="326"/>
        <w:gridCol w:w="326"/>
        <w:gridCol w:w="460"/>
      </w:tblGrid>
      <w:tr>
        <w:trPr/>
        <w:tc>
          <w:tcPr>
            <w:tcW w:w="37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 International Reports Third Fiscal Quarter 2026 Results</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Digi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770" w:type="dxa"/>
        <w:jc w:val="left"/>
        <w:tblInd w:w="0" w:type="dxa"/>
        <w:tblLayout w:type="fixed"/>
        <w:tblCellMar>
          <w:top w:w="28" w:type="dxa"/>
          <w:left w:w="28" w:type="dxa"/>
          <w:bottom w:w="28" w:type="dxa"/>
          <w:right w:w="28" w:type="dxa"/>
        </w:tblCellMar>
      </w:tblPr>
      <w:tblGrid>
        <w:gridCol w:w="933"/>
        <w:gridCol w:w="820"/>
        <w:gridCol w:w="827"/>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June 30,</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391,875 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249,992 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155,590 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38,919 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37,653 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38,646 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37,623 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5068" w:type="dxa"/>
        <w:jc w:val="center"/>
        <w:tblInd w:w="0" w:type="dxa"/>
        <w:tblLayout w:type="fixed"/>
        <w:tblCellMar>
          <w:top w:w="28" w:type="dxa"/>
          <w:left w:w="28" w:type="dxa"/>
          <w:bottom w:w="28" w:type="dxa"/>
          <w:right w:w="28" w:type="dxa"/>
        </w:tblCellMar>
      </w:tblPr>
      <w:tblGrid>
        <w:gridCol w:w="370"/>
        <w:gridCol w:w="326"/>
        <w:gridCol w:w="326"/>
        <w:gridCol w:w="326"/>
        <w:gridCol w:w="326"/>
        <w:gridCol w:w="326"/>
        <w:gridCol w:w="326"/>
        <w:gridCol w:w="326"/>
        <w:gridCol w:w="326"/>
        <w:gridCol w:w="326"/>
        <w:gridCol w:w="326"/>
        <w:gridCol w:w="326"/>
        <w:gridCol w:w="326"/>
        <w:gridCol w:w="326"/>
        <w:gridCol w:w="460"/>
      </w:tblGrid>
      <w:tr>
        <w:trPr/>
        <w:tc>
          <w:tcPr>
            <w:tcW w:w="37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 International Reports Third Fiscal Quarter 2026 Results</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Digi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392" w:type="dxa"/>
        <w:jc w:val="left"/>
        <w:tblInd w:w="0" w:type="dxa"/>
        <w:tblLayout w:type="fixed"/>
        <w:tblCellMar>
          <w:top w:w="28" w:type="dxa"/>
          <w:left w:w="28" w:type="dxa"/>
          <w:bottom w:w="28" w:type="dxa"/>
          <w:right w:w="28" w:type="dxa"/>
        </w:tblCellMar>
      </w:tblPr>
      <w:tblGrid>
        <w:gridCol w:w="1398"/>
        <w:gridCol w:w="1223"/>
        <w:gridCol w:w="1233"/>
        <w:gridCol w:w="196"/>
        <w:gridCol w:w="736"/>
        <w:gridCol w:w="109"/>
        <w:gridCol w:w="109"/>
        <w:gridCol w:w="109"/>
        <w:gridCol w:w="109"/>
        <w:gridCol w:w="211"/>
        <w:gridCol w:w="793"/>
        <w:gridCol w:w="166"/>
      </w:tblGrid>
      <w:tr>
        <w:trPr/>
        <w:tc>
          <w:tcPr>
            <w:tcW w:w="139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br/>
              <w:t>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130,699 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791,947 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964,351 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922,646 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71,939 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107,810 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178,759 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279,198 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286,569 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636,077 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964,351 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922,646 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Digi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803" w:type="dxa"/>
        <w:jc w:val="left"/>
        <w:tblInd w:w="0" w:type="dxa"/>
        <w:tblLayout w:type="fixed"/>
        <w:tblCellMar>
          <w:top w:w="28" w:type="dxa"/>
          <w:left w:w="28" w:type="dxa"/>
          <w:bottom w:w="28" w:type="dxa"/>
          <w:right w:w="28" w:type="dxa"/>
        </w:tblCellMar>
      </w:tblPr>
      <w:tblGrid>
        <w:gridCol w:w="1609"/>
        <w:gridCol w:w="1409"/>
        <w:gridCol w:w="1421"/>
        <w:gridCol w:w="196"/>
        <w:gridCol w:w="736"/>
        <w:gridCol w:w="109"/>
        <w:gridCol w:w="109"/>
        <w:gridCol w:w="109"/>
        <w:gridCol w:w="109"/>
        <w:gridCol w:w="196"/>
        <w:gridCol w:w="646"/>
        <w:gridCol w:w="154"/>
      </w:tblGrid>
      <w:tr>
        <w:trPr/>
        <w:tc>
          <w:tcPr>
            <w:tcW w:w="16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June 30,</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5068" w:type="dxa"/>
        <w:jc w:val="center"/>
        <w:tblInd w:w="0" w:type="dxa"/>
        <w:tblLayout w:type="fixed"/>
        <w:tblCellMar>
          <w:top w:w="28" w:type="dxa"/>
          <w:left w:w="28" w:type="dxa"/>
          <w:bottom w:w="28" w:type="dxa"/>
          <w:right w:w="28" w:type="dxa"/>
        </w:tblCellMar>
      </w:tblPr>
      <w:tblGrid>
        <w:gridCol w:w="370"/>
        <w:gridCol w:w="326"/>
        <w:gridCol w:w="326"/>
        <w:gridCol w:w="326"/>
        <w:gridCol w:w="326"/>
        <w:gridCol w:w="326"/>
        <w:gridCol w:w="326"/>
        <w:gridCol w:w="326"/>
        <w:gridCol w:w="326"/>
        <w:gridCol w:w="326"/>
        <w:gridCol w:w="326"/>
        <w:gridCol w:w="326"/>
        <w:gridCol w:w="326"/>
        <w:gridCol w:w="326"/>
        <w:gridCol w:w="460"/>
      </w:tblGrid>
      <w:tr>
        <w:trPr/>
        <w:tc>
          <w:tcPr>
            <w:tcW w:w="37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 International Reports Third Fiscal Quarter 2026 Results</w:t>
            </w:r>
          </w:p>
        </w:tc>
      </w:tr>
    </w:tbl>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Non-GAAP Financial Measures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Net Income to Adjusted EBITDA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2355" w:type="dxa"/>
        <w:jc w:val="left"/>
        <w:tblInd w:w="0" w:type="dxa"/>
        <w:tblLayout w:type="fixed"/>
        <w:tblCellMar>
          <w:top w:w="28" w:type="dxa"/>
          <w:left w:w="28" w:type="dxa"/>
          <w:bottom w:w="28" w:type="dxa"/>
          <w:right w:w="28" w:type="dxa"/>
        </w:tblCellMar>
      </w:tblPr>
      <w:tblGrid>
        <w:gridCol w:w="757"/>
        <w:gridCol w:w="259"/>
        <w:gridCol w:w="245"/>
        <w:gridCol w:w="211"/>
        <w:gridCol w:w="826"/>
        <w:gridCol w:w="109"/>
        <w:gridCol w:w="109"/>
        <w:gridCol w:w="109"/>
        <w:gridCol w:w="109"/>
        <w:gridCol w:w="308"/>
        <w:gridCol w:w="308"/>
        <w:gridCol w:w="417"/>
        <w:gridCol w:w="109"/>
        <w:gridCol w:w="109"/>
        <w:gridCol w:w="109"/>
        <w:gridCol w:w="211"/>
        <w:gridCol w:w="826"/>
        <w:gridCol w:w="109"/>
        <w:gridCol w:w="109"/>
        <w:gridCol w:w="109"/>
        <w:gridCol w:w="109"/>
        <w:gridCol w:w="308"/>
        <w:gridCol w:w="308"/>
        <w:gridCol w:w="417"/>
        <w:gridCol w:w="109"/>
        <w:gridCol w:w="109"/>
        <w:gridCol w:w="109"/>
        <w:gridCol w:w="211"/>
        <w:gridCol w:w="826"/>
        <w:gridCol w:w="109"/>
        <w:gridCol w:w="109"/>
        <w:gridCol w:w="109"/>
        <w:gridCol w:w="109"/>
        <w:gridCol w:w="308"/>
        <w:gridCol w:w="308"/>
        <w:gridCol w:w="433"/>
        <w:gridCol w:w="109"/>
        <w:gridCol w:w="109"/>
        <w:gridCol w:w="109"/>
        <w:gridCol w:w="211"/>
        <w:gridCol w:w="826"/>
        <w:gridCol w:w="109"/>
        <w:gridCol w:w="109"/>
        <w:gridCol w:w="109"/>
        <w:gridCol w:w="109"/>
        <w:gridCol w:w="308"/>
        <w:gridCol w:w="308"/>
        <w:gridCol w:w="490"/>
      </w:tblGrid>
      <w:tr>
        <w:trPr/>
        <w:tc>
          <w:tcPr>
            <w:tcW w:w="7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w:t>
              <w:br/>
              <w:t>revenue</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asset 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 of Net Income and Net Income per Diluted Share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Adjusted Net Income and Adjusted Net Income per Diluted Share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tbl>
      <w:tblPr>
        <w:tblW w:w="11098" w:type="dxa"/>
        <w:jc w:val="left"/>
        <w:tblInd w:w="0" w:type="dxa"/>
        <w:tblLayout w:type="fixed"/>
        <w:tblCellMar>
          <w:top w:w="28" w:type="dxa"/>
          <w:left w:w="28" w:type="dxa"/>
          <w:bottom w:w="28" w:type="dxa"/>
          <w:right w:w="28" w:type="dxa"/>
        </w:tblCellMar>
      </w:tblPr>
      <w:tblGrid>
        <w:gridCol w:w="816"/>
        <w:gridCol w:w="229"/>
        <w:gridCol w:w="231"/>
        <w:gridCol w:w="211"/>
        <w:gridCol w:w="721"/>
        <w:gridCol w:w="109"/>
        <w:gridCol w:w="109"/>
        <w:gridCol w:w="109"/>
        <w:gridCol w:w="109"/>
        <w:gridCol w:w="211"/>
        <w:gridCol w:w="511"/>
        <w:gridCol w:w="109"/>
        <w:gridCol w:w="109"/>
        <w:gridCol w:w="109"/>
        <w:gridCol w:w="109"/>
        <w:gridCol w:w="211"/>
        <w:gridCol w:w="721"/>
        <w:gridCol w:w="109"/>
        <w:gridCol w:w="109"/>
        <w:gridCol w:w="109"/>
        <w:gridCol w:w="109"/>
        <w:gridCol w:w="211"/>
        <w:gridCol w:w="511"/>
        <w:gridCol w:w="109"/>
        <w:gridCol w:w="109"/>
        <w:gridCol w:w="109"/>
        <w:gridCol w:w="109"/>
        <w:gridCol w:w="211"/>
        <w:gridCol w:w="721"/>
        <w:gridCol w:w="109"/>
        <w:gridCol w:w="109"/>
        <w:gridCol w:w="109"/>
        <w:gridCol w:w="109"/>
        <w:gridCol w:w="211"/>
        <w:gridCol w:w="511"/>
        <w:gridCol w:w="109"/>
        <w:gridCol w:w="109"/>
        <w:gridCol w:w="109"/>
        <w:gridCol w:w="109"/>
        <w:gridCol w:w="211"/>
        <w:gridCol w:w="721"/>
        <w:gridCol w:w="109"/>
        <w:gridCol w:w="109"/>
        <w:gridCol w:w="109"/>
        <w:gridCol w:w="109"/>
        <w:gridCol w:w="211"/>
        <w:gridCol w:w="511"/>
        <w:gridCol w:w="154"/>
      </w:tblGrid>
      <w:tr>
        <w:trPr/>
        <w:tc>
          <w:tcPr>
            <w:tcW w:w="8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and net income per diluted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asset 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effect from the above adjustments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Discrete tax benefits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net income and adjusted net income per diluted share </w:t>
            </w:r>
            <w:r>
              <w:rPr>
                <w:rFonts w:ascii="Times New Roman;serif" w:hAnsi="Times New Roman;serif"/>
                <w:b w:val="false"/>
                <w:color w:val="000000"/>
                <w:sz w:val="13"/>
              </w:rPr>
              <w:t>(3)</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37,623</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tax effect from the above adjustments assumes an estimated effective tax rate of 18.0% for fiscal 2026 and 2025 based on adjusted net income.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(2)For the three and nine months ended June 30, 2026 and 2025 discrete tax benefits are a result of changes in excess tax benefits recognized on stock compensation.</w:t>
      </w:r>
    </w:p>
    <w:p>
      <w:pPr>
        <w:pStyle w:val="TextBody"/>
        <w:bidi w:val="0"/>
        <w:spacing w:lineRule="auto" w:line="288"/>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(3)Adjusted net income per diluted share may not add due to the use of rounded numbers.</w:t>
      </w:r>
    </w:p>
    <w:p>
      <w:pPr>
        <w:pStyle w:val="TextBody"/>
        <w:bidi w:val="0"/>
        <w:spacing w:before="0" w:after="0"/>
        <w:jc w:val="center"/>
        <w:rPr/>
      </w:pPr>
      <w:bookmarkStart w:id="0" w:name="digiq3fy26investordeck.htm"/>
      <w:bookmarkStart w:id="1" w:name="ksdigiq3fy26investordeck"/>
      <w:bookmarkEnd w:id="0"/>
      <w:bookmarkEnd w:id="1"/>
      <w:r>
        <w:rPr/>
        <w:drawing>
          <wp:inline distT="0" distB="0" distL="0" distR="0">
            <wp:extent cx="9753600" cy="5486400"/>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jc w:val="center"/>
        <w:rPr>
          <w:color w:val="FFFFFF"/>
          <w:sz w:val="2"/>
        </w:rPr>
      </w:pPr>
      <w:r>
        <w:rPr>
          <w:color w:val="FFFFFF"/>
          <w:sz w:val="2"/>
        </w:rPr>
        <w:t xml:space="preserve">Earnings Presentation Fiscal Third Quarter 2026 August 5, 2026 Nasdaq: DGII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Safe Harbor This presentation includes forward looking statements. These statements reflect our expectations about future operating and financial performance and speak only as of the date of this presentation. Actual results, performance, or developments could differ materially from those expressed or implied by the forward looking statements contained in this presentation as a result of known and unknown risks, uncertainties, and other factors including those identified in the Company’s most recent Form 10‐K and other subsequent periodic filings with the Securities and Exchange Commission.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Digi Drives Value through Remote Presence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Digi's IIoT Solution Value Proposition A Complete, Business and Mission-Critical Industrial IoT Stack Security • Zero-trust device authentication • Products with end-to- end encrypted communications • Products with automated vulnerability management • Products with FIPS 140-2 certified hardware Reliability • 5-nines uptime SLAs • Failover &amp; redundant connectivity • 40-year heritage of rugged design • Carrier-grade hardware platforms Scalability • Manage millions of edge devices • Cloud-native, multi- tenant platform • API-first architecture • Supports SMB to Fortune 50 Ease of Use • Zero-touch provisioning (ZTP) • Intuitive cloud dashboards • Plug-and-play hardware • Responsive 24/7 expert support Digi delivers complete IIoT solutions — hardware + connectivity + software +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DANI – AI Assistant Inside Digi Remote Manager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New Records* Set With Q3 FY2026 Results Fiscal 2026 results include the results of Jolt for the full nine-month period and Particle following the January 2026 acquisition date GAAP Results $139M* Revenue +29% YoY 64.8%* Gross Margin +130 basis points YoY $33M Cash Flow from Operations +38% YoY Non-GAAP Results $191M* Annualized Recurring Revenue (ARR) +52% YoY 29.1%* A-EBITDA Margin Quarterly Record $40M* Adjusted EBITDA (A-EBITDA) +47% YoY For a reconciliation of Adjusted EBITDA and Adjusted EBITDA Margin to their closest GAAP measures see the Company’s FQ3 2026 Earnings Release. Annualized Recurring Revenue (ARR) is a non-GAAP operational metric for which there is no comparable GAAP measure; a description of how the Company calculates ARR can be found in the Company’s filings under the Securities Exchange Act of 1934.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Raising Guidance FQ4 &amp; Full Year 2026 | YoY growth at midpoint | All figures in $M except Adjusted EPS FQ4 2026 Guidance vs FQ4 2025 Actuals Full Year 2026 Guidance vs Full Year 2025 Actuals Metric Low High Prior Year YoY (mid) Metric Low High Prior Year YoY (mid) Revenue $138 LOW $142 HIGH $114.3M prior year +22.5% Adj. EBITDA $40 LOW $41.5 HIGH $29.2M prior year +39.6% Adj. EPS $0.75 LOW $0.78 HIGH $0.56 prior year +36.6% ARR At Least 27% YoY growth FY25 base: $152M Revenue $529 LOW $533 HIGH $430.2M prior year +23.5% Adj. EBITDA $146 LOW $147.5 HIGH $108.4M prior year +35.5% Adj. EPS (implied) $2.67 LOW $2.70 HIGH $2.10 prior year +27.9% YoY growth calculated at midpoint of guidance range vs prior year actuals. | All figures in $M except Adjusted EPS | Source: Digi International FQ3 2026 Earnings Release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Five-Year Goals: Marching to $200M ARR | $200M A-EBITDA Goals set at the beginning of Fiscal 2024: $200M ARR and $200M Adjusted EBITDA within 5 years 116 152 193+ FY24 FY25 FY26E Annualized Recurring Revenue (ARR) 97 108 147 FY24 FY25 FY26E Adjusted EBITDA (A-EBITDA) FY26E based on company guidance of at least 27% ARR growth and the midpoint of A-EBITDA guidance including Particle and Jolt acquisitions. For a reconciliation of Adjusted EBITDA to its closest GAAP measure see the Company’s FQ3 2026 Earnings Release. ARR is a non-GAAP operational metric for which there is no comparable GAAP measure; a description of how the Company calculates ARR can be found in the Company’s filings under the Securities Exchange Act of 1934. 23% CAGR29% CAGR $ m ill io ns $ m ill io 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Digi's Flywheel: Acquire → Generate → Compound DIGI FLYWHEEL 1. ACQUIRE Accretive M&amp;A Using Debt Identify IIoT companies with strong ARR and A-EBITDA potential. Use debt financing to fund acquisitions. 2. INTEGRATE Build ARR &amp; A-EBITDA Cross-sell solutions, expand attach rates, drive subscription growth across new customer base. 3. CASH FLOW Strong Free Cash Flow $33M operating cash flow in Q3 FY26 . Capital-light model, &lt;1% of total revenue, with high recurring gross margins. 4. PAY DOWN DEBT Reduce Leverage, Repeat Cycle Deploy cash flow to retire acquisition debt, restoring capacity for the next acquisition. Recent Acquisitions: Jolt Software (FY25) · Particle (FY26) | FY26 YTD Operating Cash Flow: $110M | Debt Net of Cash: ~$81M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4874</Words>
  <Characters>27222</Characters>
  <CharactersWithSpaces>31790</CharactersWithSpaces>
  <Paragraphs>606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digiq3fy26investordeck</dc:title>
</cp:coreProperties>
</file>