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225425</wp:posOffset>
            </wp:positionH>
            <wp:positionV relativeFrom="page">
              <wp:posOffset>706120</wp:posOffset>
            </wp:positionV>
            <wp:extent cx="70980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662940</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 SECURITIES AND EXCHANGE COMMISSION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0" w:lineRule="exact"/>
        <w:rPr>
          <w:sz w:val="24"/>
          <w:szCs w:val="24"/>
          <w:color w:val="auto"/>
        </w:rPr>
      </w:pPr>
    </w:p>
    <w:p>
      <w:pPr>
        <w:spacing w:after="0" w:line="285" w:lineRule="exact"/>
        <w:rPr>
          <w:sz w:val="24"/>
          <w:szCs w:val="24"/>
          <w:color w:val="auto"/>
        </w:rPr>
      </w:pPr>
    </w:p>
    <w:p>
      <w:pPr>
        <w:ind w:left="400" w:hanging="338"/>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 (d) OF THE SECURITIES EXCHANGE ACT OF 1934</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2022</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94" w:lineRule="exact"/>
        <w:rPr>
          <w:sz w:val="24"/>
          <w:szCs w:val="24"/>
          <w:color w:val="auto"/>
        </w:rPr>
      </w:pPr>
    </w:p>
    <w:p>
      <w:pPr>
        <w:ind w:left="400" w:hanging="338"/>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 (d) OF THE SECURITIES EXCHANGE ACT OF 1934</w:t>
      </w:r>
    </w:p>
    <w:p>
      <w:pPr>
        <w:spacing w:after="0" w:line="115" w:lineRule="exact"/>
        <w:rPr>
          <w:sz w:val="24"/>
          <w:szCs w:val="24"/>
          <w:color w:val="auto"/>
        </w:rPr>
      </w:pPr>
    </w:p>
    <w:tbl>
      <w:tblPr>
        <w:tblLayout w:type="fixed"/>
        <w:tblInd w:w="362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80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4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0"/>
              </w:rPr>
              <w:t>.</w:t>
            </w:r>
          </w:p>
        </w:tc>
      </w:tr>
      <w:tr>
        <w:trPr>
          <w:trHeight w:val="258"/>
        </w:trPr>
        <w:tc>
          <w:tcPr>
            <w:tcW w:w="3620" w:type="dxa"/>
            <w:vAlign w:val="bottom"/>
            <w:gridSpan w:val="4"/>
          </w:tcPr>
          <w:p>
            <w:pPr>
              <w:ind w:left="760"/>
              <w:spacing w:after="0"/>
              <w:rPr>
                <w:sz w:val="20"/>
                <w:szCs w:val="20"/>
                <w:color w:val="auto"/>
              </w:rPr>
            </w:pPr>
            <w:r>
              <w:rPr>
                <w:rFonts w:ascii="Times New Roman" w:cs="Times New Roman" w:eastAsia="Times New Roman" w:hAnsi="Times New Roman"/>
                <w:sz w:val="16"/>
                <w:szCs w:val="16"/>
                <w:b w:val="1"/>
                <w:bCs w:val="1"/>
                <w:color w:val="auto"/>
              </w:rPr>
              <w:t>Commission file number: 001-34033</w:t>
            </w: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72390</wp:posOffset>
            </wp:positionV>
            <wp:extent cx="1011555"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1555" cy="3086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DIGI INTERNATIONAL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57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5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41-1532464</w:t>
            </w:r>
          </w:p>
        </w:tc>
      </w:tr>
      <w:tr>
        <w:trPr>
          <w:trHeight w:val="207"/>
        </w:trPr>
        <w:tc>
          <w:tcPr>
            <w:tcW w:w="5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(I.R.S. Employer Identification Number)</w:t>
            </w:r>
          </w:p>
        </w:tc>
      </w:tr>
      <w:tr>
        <w:trPr>
          <w:trHeight w:val="337"/>
        </w:trPr>
        <w:tc>
          <w:tcPr>
            <w:tcW w:w="5760" w:type="dxa"/>
            <w:vAlign w:val="bottom"/>
            <w:gridSpan w:val="3"/>
          </w:tcPr>
          <w:p>
            <w:pPr>
              <w:ind w:left="1340"/>
              <w:spacing w:after="0"/>
              <w:rPr>
                <w:sz w:val="20"/>
                <w:szCs w:val="20"/>
                <w:color w:val="auto"/>
              </w:rPr>
            </w:pPr>
            <w:r>
              <w:rPr>
                <w:rFonts w:ascii="Times New Roman" w:cs="Times New Roman" w:eastAsia="Times New Roman" w:hAnsi="Times New Roman"/>
                <w:sz w:val="16"/>
                <w:szCs w:val="16"/>
                <w:b w:val="1"/>
                <w:bCs w:val="1"/>
                <w:color w:val="auto"/>
              </w:rPr>
              <w:t>9350 Excelsior Blvd. Suite 700</w:t>
            </w:r>
          </w:p>
        </w:tc>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19"/>
        </w:trPr>
        <w:tc>
          <w:tcPr>
            <w:tcW w:w="5760" w:type="dxa"/>
            <w:vAlign w:val="bottom"/>
            <w:gridSpan w:val="3"/>
          </w:tcPr>
          <w:p>
            <w:pPr>
              <w:ind w:left="2160"/>
              <w:spacing w:after="0"/>
              <w:rPr>
                <w:sz w:val="20"/>
                <w:szCs w:val="20"/>
                <w:color w:val="auto"/>
              </w:rPr>
            </w:pPr>
            <w:r>
              <w:rPr>
                <w:rFonts w:ascii="Times New Roman" w:cs="Times New Roman" w:eastAsia="Times New Roman" w:hAnsi="Times New Roman"/>
                <w:sz w:val="16"/>
                <w:szCs w:val="16"/>
                <w:b w:val="1"/>
                <w:bCs w:val="1"/>
                <w:color w:val="auto"/>
              </w:rPr>
              <w:t>Hopkins Minnesota</w:t>
            </w:r>
          </w:p>
        </w:tc>
        <w:tc>
          <w:tcPr>
            <w:tcW w:w="5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55343</w:t>
            </w:r>
          </w:p>
        </w:tc>
      </w:tr>
      <w:tr>
        <w:trPr>
          <w:trHeight w:val="207"/>
        </w:trPr>
        <w:tc>
          <w:tcPr>
            <w:tcW w:w="55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(952) 912-3444</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36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9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327"/>
        </w:trPr>
        <w:tc>
          <w:tcPr>
            <w:tcW w:w="3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$.01 per share</w:t>
            </w:r>
          </w:p>
        </w:tc>
        <w:tc>
          <w:tcPr>
            <w:tcW w:w="120" w:type="dxa"/>
            <w:vAlign w:val="bottom"/>
          </w:tcPr>
          <w:p>
            <w:pPr>
              <w:spacing w:after="0"/>
              <w:rPr>
                <w:sz w:val="17"/>
                <w:szCs w:val="17"/>
                <w:color w:val="auto"/>
              </w:rPr>
            </w:pPr>
          </w:p>
        </w:tc>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DGII</w:t>
            </w:r>
          </w:p>
        </w:tc>
        <w:tc>
          <w:tcPr>
            <w:tcW w:w="100" w:type="dxa"/>
            <w:vAlign w:val="bottom"/>
          </w:tcPr>
          <w:p>
            <w:pPr>
              <w:spacing w:after="0"/>
              <w:rPr>
                <w:sz w:val="17"/>
                <w:szCs w:val="17"/>
                <w:color w:val="auto"/>
              </w:rPr>
            </w:pPr>
          </w:p>
        </w:tc>
        <w:tc>
          <w:tcPr>
            <w:tcW w:w="4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0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ind w:right="40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9" w:lineRule="exact"/>
        <w:rPr>
          <w:sz w:val="24"/>
          <w:szCs w:val="24"/>
          <w:color w:val="auto"/>
        </w:rPr>
      </w:pPr>
    </w:p>
    <w:p>
      <w:pPr>
        <w:jc w:val="both"/>
        <w:ind w:right="20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2"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52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Accelerated filer</w:t>
            </w:r>
          </w:p>
        </w:tc>
        <w:tc>
          <w:tcPr>
            <w:tcW w:w="6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24"/>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52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24"/>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52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150" w:lineRule="exact"/>
        <w:rPr>
          <w:sz w:val="24"/>
          <w:szCs w:val="24"/>
          <w:color w:val="auto"/>
        </w:rPr>
      </w:pPr>
    </w:p>
    <w:p>
      <w:pPr>
        <w:ind w:right="58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4" w:lineRule="exact"/>
        <w:rPr>
          <w:sz w:val="24"/>
          <w:szCs w:val="24"/>
          <w:color w:val="auto"/>
        </w:rPr>
      </w:pPr>
    </w:p>
    <w:p>
      <w:pPr>
        <w:ind w:right="3660"/>
        <w:spacing w:after="0" w:line="27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On May 1, 2022, there were 41,552,018 shares of the registrant's $.01 par value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840740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INDEX</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1"/>
        </w:trPr>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34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8"/>
                <w:szCs w:val="18"/>
                <w:color w:val="auto"/>
              </w:rPr>
              <w:t>Page</w:t>
            </w:r>
          </w:p>
        </w:tc>
      </w:tr>
      <w:tr>
        <w:trPr>
          <w:trHeight w:val="183"/>
        </w:trPr>
        <w:tc>
          <w:tcPr>
            <w:tcW w:w="9860" w:type="dxa"/>
            <w:vAlign w:val="bottom"/>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PART I. FINANCIAL INFORMATION</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30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ITEM 1. Unaudited Financial Statements:</w:t>
            </w:r>
          </w:p>
        </w:tc>
        <w:tc>
          <w:tcPr>
            <w:tcW w:w="6840" w:type="dxa"/>
            <w:vAlign w:val="bottom"/>
            <w:gridSpan w:val="9"/>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120" w:type="dxa"/>
            <w:vAlign w:val="bottom"/>
          </w:tcPr>
          <w:p>
            <w:pPr>
              <w:spacing w:after="0"/>
              <w:rPr>
                <w:sz w:val="24"/>
                <w:szCs w:val="24"/>
                <w:color w:val="auto"/>
              </w:rPr>
            </w:pP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1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 w:type="dxa"/>
            <w:vAlign w:val="bottom"/>
          </w:tcPr>
          <w:p>
            <w:pPr>
              <w:spacing w:after="0"/>
              <w:rPr>
                <w:sz w:val="24"/>
                <w:szCs w:val="24"/>
                <w:color w:val="auto"/>
              </w:rPr>
            </w:pP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1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r>
      <w:tr>
        <w:trPr>
          <w:trHeight w:val="439"/>
        </w:trPr>
        <w:tc>
          <w:tcPr>
            <w:tcW w:w="120" w:type="dxa"/>
            <w:vAlign w:val="bottom"/>
          </w:tcPr>
          <w:p>
            <w:pPr>
              <w:spacing w:after="0"/>
              <w:rPr>
                <w:sz w:val="24"/>
                <w:szCs w:val="24"/>
                <w:color w:val="auto"/>
              </w:rPr>
            </w:pPr>
          </w:p>
        </w:tc>
        <w:tc>
          <w:tcPr>
            <w:tcW w:w="458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5160" w:type="dxa"/>
            <w:vAlign w:val="bottom"/>
            <w:gridSpan w:val="3"/>
          </w:tcPr>
          <w:p>
            <w:pPr>
              <w:spacing w:after="0"/>
              <w:rPr>
                <w:sz w:val="24"/>
                <w:szCs w:val="24"/>
                <w:color w:val="auto"/>
              </w:rPr>
            </w:pPr>
          </w:p>
        </w:tc>
        <w:tc>
          <w:tcPr>
            <w:tcW w:w="122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64"/>
        </w:trPr>
        <w:tc>
          <w:tcPr>
            <w:tcW w:w="120" w:type="dxa"/>
            <w:vAlign w:val="bottom"/>
          </w:tcPr>
          <w:p>
            <w:pPr>
              <w:spacing w:after="0"/>
              <w:rPr>
                <w:sz w:val="22"/>
                <w:szCs w:val="22"/>
                <w:color w:val="auto"/>
              </w:rPr>
            </w:pPr>
          </w:p>
        </w:tc>
        <w:tc>
          <w:tcPr>
            <w:tcW w:w="440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5340" w:type="dxa"/>
            <w:vAlign w:val="bottom"/>
            <w:gridSpan w:val="4"/>
          </w:tcPr>
          <w:p>
            <w:pPr>
              <w:spacing w:after="0"/>
              <w:rPr>
                <w:sz w:val="22"/>
                <w:szCs w:val="22"/>
                <w:color w:val="auto"/>
              </w:rPr>
            </w:pPr>
          </w:p>
        </w:tc>
        <w:tc>
          <w:tcPr>
            <w:tcW w:w="1220" w:type="dxa"/>
            <w:vAlign w:val="bottom"/>
            <w:gridSpan w:val="2"/>
          </w:tcPr>
          <w:p>
            <w:pPr>
              <w:spacing w:after="0"/>
              <w:rPr>
                <w:sz w:val="22"/>
                <w:szCs w:val="22"/>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9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8"/>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5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4"/>
                <w:szCs w:val="24"/>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4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2580" w:type="dxa"/>
            <w:vAlign w:val="bottom"/>
            <w:gridSpan w:val="11"/>
          </w:tcPr>
          <w:p>
            <w:pPr>
              <w:spacing w:after="0"/>
              <w:rPr>
                <w:sz w:val="24"/>
                <w:szCs w:val="24"/>
                <w:color w:val="auto"/>
              </w:rPr>
            </w:pPr>
          </w:p>
        </w:tc>
        <w:tc>
          <w:tcPr>
            <w:tcW w:w="4840" w:type="dxa"/>
            <w:vAlign w:val="bottom"/>
            <w:gridSpan w:val="2"/>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5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7280" w:type="dxa"/>
            <w:vAlign w:val="bottom"/>
            <w:gridSpan w:val="12"/>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9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9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880" w:type="dxa"/>
            <w:vAlign w:val="bottom"/>
            <w:gridSpan w:val="14"/>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5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4840" w:type="dxa"/>
            <w:vAlign w:val="bottom"/>
            <w:gridSpan w:val="2"/>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8"/>
            <w:shd w:val="clear" w:color="auto" w:fill="0000FF"/>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3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ITEM 3. Defaults Upon Senior Securities</w:t>
            </w:r>
          </w:p>
        </w:tc>
        <w:tc>
          <w:tcPr>
            <w:tcW w:w="2020" w:type="dxa"/>
            <w:vAlign w:val="bottom"/>
            <w:gridSpan w:val="8"/>
          </w:tcPr>
          <w:p>
            <w:pPr>
              <w:spacing w:after="0"/>
              <w:rPr>
                <w:sz w:val="24"/>
                <w:szCs w:val="24"/>
                <w:color w:val="auto"/>
              </w:rPr>
            </w:pPr>
          </w:p>
        </w:tc>
        <w:tc>
          <w:tcPr>
            <w:tcW w:w="4840" w:type="dxa"/>
            <w:vAlign w:val="bottom"/>
            <w:gridSpan w:val="2"/>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4"/>
                <w:szCs w:val="24"/>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4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4. Mine Safety Disclosures</w:t>
            </w:r>
          </w:p>
        </w:tc>
        <w:tc>
          <w:tcPr>
            <w:tcW w:w="560" w:type="dxa"/>
            <w:vAlign w:val="bottom"/>
            <w:gridSpan w:val="3"/>
          </w:tcPr>
          <w:p>
            <w:pPr>
              <w:spacing w:after="0"/>
              <w:rPr>
                <w:sz w:val="24"/>
                <w:szCs w:val="24"/>
                <w:color w:val="auto"/>
              </w:rPr>
            </w:pPr>
          </w:p>
        </w:tc>
        <w:tc>
          <w:tcPr>
            <w:tcW w:w="6860" w:type="dxa"/>
            <w:vAlign w:val="bottom"/>
            <w:gridSpan w:val="10"/>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420" w:type="dxa"/>
            <w:vAlign w:val="bottom"/>
            <w:gridSpan w:val="1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4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7420" w:type="dxa"/>
            <w:vAlign w:val="bottom"/>
            <w:gridSpan w:val="13"/>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880" w:type="dxa"/>
            <w:vAlign w:val="bottom"/>
            <w:gridSpan w:val="1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700" w:type="dxa"/>
            <w:vAlign w:val="bottom"/>
            <w:gridSpan w:val="2"/>
          </w:tcPr>
          <w:p>
            <w:pPr>
              <w:spacing w:after="0"/>
              <w:rPr>
                <w:sz w:val="24"/>
                <w:szCs w:val="24"/>
                <w:color w:val="auto"/>
              </w:rPr>
            </w:pPr>
          </w:p>
        </w:tc>
        <w:tc>
          <w:tcPr>
            <w:tcW w:w="7880" w:type="dxa"/>
            <w:vAlign w:val="bottom"/>
            <w:gridSpan w:val="14"/>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4"/>
                <w:szCs w:val="24"/>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66"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60" w:type="dxa"/>
            <w:vAlign w:val="bottom"/>
          </w:tcPr>
          <w:p>
            <w:pPr>
              <w:spacing w:after="0"/>
              <w:rPr>
                <w:sz w:val="18"/>
                <w:szCs w:val="18"/>
                <w:color w:val="auto"/>
              </w:rPr>
            </w:pPr>
          </w:p>
        </w:tc>
        <w:tc>
          <w:tcPr>
            <w:tcW w:w="298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6"/>
                <w:szCs w:val="16"/>
                <w:color w:val="auto"/>
              </w:rPr>
              <w:t>Three months ended March 31,</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color w:val="auto"/>
              </w:rPr>
              <w:t>Six months ended March 31,</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2022</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2021</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209"/>
        </w:trPr>
        <w:tc>
          <w:tcPr>
            <w:tcW w:w="4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gridSpan w:val="6"/>
          </w:tcPr>
          <w:p>
            <w:pPr>
              <w:ind w:left="260"/>
              <w:spacing w:after="0"/>
              <w:rPr>
                <w:sz w:val="20"/>
                <w:szCs w:val="20"/>
                <w:color w:val="auto"/>
              </w:rPr>
            </w:pPr>
            <w:r>
              <w:rPr>
                <w:rFonts w:ascii="Times New Roman" w:cs="Times New Roman" w:eastAsia="Times New Roman" w:hAnsi="Times New Roman"/>
                <w:sz w:val="16"/>
                <w:szCs w:val="16"/>
                <w:color w:val="auto"/>
              </w:rPr>
              <w:t>(in thousands, except per share data)</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69,167</w:t>
            </w:r>
          </w:p>
        </w:tc>
        <w:tc>
          <w:tcPr>
            <w:tcW w:w="100" w:type="dxa"/>
            <w:vAlign w:val="bottom"/>
          </w:tcPr>
          <w:p>
            <w:pPr>
              <w:spacing w:after="0"/>
              <w:rPr>
                <w:sz w:val="18"/>
                <w:szCs w:val="18"/>
                <w:color w:val="auto"/>
              </w:rPr>
            </w:pP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66,924</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132,965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129,528</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w:t>
            </w:r>
          </w:p>
        </w:tc>
        <w:tc>
          <w:tcPr>
            <w:tcW w:w="1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25,546</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20,919</w:t>
            </w:r>
          </w:p>
        </w:tc>
        <w:tc>
          <w:tcPr>
            <w:tcW w:w="0" w:type="dxa"/>
            <w:vAlign w:val="bottom"/>
          </w:tcPr>
          <w:p>
            <w:pPr>
              <w:spacing w:after="0"/>
              <w:rPr>
                <w:sz w:val="1"/>
                <w:szCs w:val="1"/>
                <w:color w:val="auto"/>
              </w:rPr>
            </w:pPr>
          </w:p>
        </w:tc>
      </w:tr>
      <w:tr>
        <w:trPr>
          <w:trHeight w:val="207"/>
        </w:trPr>
        <w:tc>
          <w:tcPr>
            <w:tcW w:w="4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94,713</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77,301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178,970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150,447</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w:t>
            </w: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34,483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32,495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60,271</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service</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6,475</w:t>
            </w:r>
          </w:p>
        </w:tc>
        <w:tc>
          <w:tcPr>
            <w:tcW w:w="0" w:type="dxa"/>
            <w:vAlign w:val="bottom"/>
          </w:tcPr>
          <w:p>
            <w:pPr>
              <w:spacing w:after="0"/>
              <w:rPr>
                <w:sz w:val="1"/>
                <w:szCs w:val="1"/>
                <w:color w:val="auto"/>
              </w:rPr>
            </w:pPr>
          </w:p>
        </w:tc>
      </w:tr>
      <w:tr>
        <w:trPr>
          <w:trHeight w:val="213"/>
        </w:trPr>
        <w:tc>
          <w:tcPr>
            <w:tcW w:w="4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Amortization</w:t>
            </w:r>
          </w:p>
        </w:tc>
        <w:tc>
          <w:tcPr>
            <w:tcW w:w="1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2,225</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cost of sales</w:t>
            </w:r>
          </w:p>
        </w:tc>
        <w:tc>
          <w:tcPr>
            <w:tcW w:w="1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42,729</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36,844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79,105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68,971</w:t>
            </w:r>
          </w:p>
        </w:tc>
        <w:tc>
          <w:tcPr>
            <w:tcW w:w="0" w:type="dxa"/>
            <w:vAlign w:val="bottom"/>
          </w:tcPr>
          <w:p>
            <w:pPr>
              <w:spacing w:after="0"/>
              <w:rPr>
                <w:sz w:val="1"/>
                <w:szCs w:val="1"/>
                <w:color w:val="auto"/>
              </w:rPr>
            </w:pPr>
          </w:p>
        </w:tc>
      </w:tr>
      <w:tr>
        <w:trPr>
          <w:trHeight w:val="207"/>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51,984</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40,457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99,865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81,476</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30,361</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22,448</w:t>
            </w:r>
          </w:p>
        </w:tc>
        <w:tc>
          <w:tcPr>
            <w:tcW w:w="0" w:type="dxa"/>
            <w:vAlign w:val="bottom"/>
          </w:tcPr>
          <w:p>
            <w:pPr>
              <w:spacing w:after="0"/>
              <w:rPr>
                <w:sz w:val="1"/>
                <w:szCs w:val="1"/>
                <w:color w:val="auto"/>
              </w:rPr>
            </w:pPr>
          </w:p>
        </w:tc>
      </w:tr>
      <w:tr>
        <w:trPr>
          <w:trHeight w:val="213"/>
        </w:trPr>
        <w:tc>
          <w:tcPr>
            <w:tcW w:w="4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12,825</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24,549</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 charge</w:t>
            </w:r>
          </w:p>
        </w:tc>
        <w:tc>
          <w:tcPr>
            <w:tcW w:w="1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0" w:type="dxa"/>
            <w:vAlign w:val="bottom"/>
          </w:tcPr>
          <w:p>
            <w:pPr>
              <w:spacing w:after="0"/>
              <w:rPr>
                <w:sz w:val="1"/>
                <w:szCs w:val="1"/>
                <w:color w:val="auto"/>
              </w:rPr>
            </w:pPr>
          </w:p>
        </w:tc>
      </w:tr>
      <w:tr>
        <w:trPr>
          <w:trHeight w:val="207"/>
        </w:trPr>
        <w:tc>
          <w:tcPr>
            <w:tcW w:w="4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1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44,420</w:t>
            </w:r>
          </w:p>
        </w:tc>
        <w:tc>
          <w:tcPr>
            <w:tcW w:w="10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37,087</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88,502</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78,252</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3,224</w:t>
            </w:r>
          </w:p>
        </w:tc>
        <w:tc>
          <w:tcPr>
            <w:tcW w:w="0" w:type="dxa"/>
            <w:vAlign w:val="bottom"/>
          </w:tcPr>
          <w:p>
            <w:pPr>
              <w:spacing w:after="0"/>
              <w:rPr>
                <w:sz w:val="1"/>
                <w:szCs w:val="1"/>
                <w:color w:val="auto"/>
              </w:rPr>
            </w:pPr>
          </w:p>
        </w:tc>
      </w:tr>
      <w:tr>
        <w:trPr>
          <w:trHeight w:val="21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4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(4,465)</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1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07"/>
        </w:trPr>
        <w:tc>
          <w:tcPr>
            <w:tcW w:w="4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other expense, net</w:t>
            </w:r>
          </w:p>
        </w:tc>
        <w:tc>
          <w:tcPr>
            <w:tcW w:w="1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(4,324)</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2,462</w:t>
            </w:r>
          </w:p>
        </w:tc>
        <w:tc>
          <w:tcPr>
            <w:tcW w:w="0" w:type="dxa"/>
            <w:vAlign w:val="bottom"/>
          </w:tcPr>
          <w:p>
            <w:pPr>
              <w:spacing w:after="0"/>
              <w:rPr>
                <w:sz w:val="1"/>
                <w:szCs w:val="1"/>
                <w:color w:val="auto"/>
              </w:rPr>
            </w:pPr>
          </w:p>
        </w:tc>
      </w:tr>
      <w:tr>
        <w:trPr>
          <w:trHeight w:val="213"/>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1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2,847</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46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1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66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35,015</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34,785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30,129</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35,608</w:t>
            </w: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32,223</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35,710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31,436</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40" w:type="dxa"/>
            <w:vAlign w:val="bottom"/>
          </w:tcPr>
          <w:p>
            <w:pPr>
              <w:spacing w:after="0"/>
              <w:rPr>
                <w:sz w:val="18"/>
                <w:szCs w:val="18"/>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Three months ended March 31,</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color w:val="auto"/>
              </w:rPr>
              <w:t>Six months ended March 31,</w:t>
            </w:r>
          </w:p>
        </w:tc>
      </w:tr>
      <w:tr>
        <w:trPr>
          <w:trHeight w:val="210"/>
        </w:trPr>
        <w:tc>
          <w:tcPr>
            <w:tcW w:w="4640" w:type="dxa"/>
            <w:vAlign w:val="bottom"/>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2022</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2021</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2021</w:t>
            </w:r>
          </w:p>
        </w:tc>
      </w:tr>
      <w:tr>
        <w:trPr>
          <w:trHeight w:val="210"/>
        </w:trPr>
        <w:tc>
          <w:tcPr>
            <w:tcW w:w="4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(in thousands)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w:t>
            </w:r>
          </w:p>
        </w:tc>
      </w:tr>
      <w:tr>
        <w:trPr>
          <w:trHeight w:val="21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w:t>
            </w:r>
          </w:p>
        </w:tc>
      </w:tr>
      <w:tr>
        <w:trPr>
          <w:trHeight w:val="207"/>
        </w:trPr>
        <w:tc>
          <w:tcPr>
            <w:tcW w:w="4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1,605</w:t>
            </w:r>
          </w:p>
        </w:tc>
      </w:tr>
      <w:tr>
        <w:trPr>
          <w:trHeight w:val="237"/>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2,899</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4,226</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5"/>
                <w:szCs w:val="15"/>
                <w:color w:val="auto"/>
              </w:rPr>
              <w:t>March 31, 2022</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September 30, 2021</w:t>
            </w:r>
          </w:p>
        </w:tc>
        <w:tc>
          <w:tcPr>
            <w:tcW w:w="0" w:type="dxa"/>
            <w:vAlign w:val="bottom"/>
          </w:tcPr>
          <w:p>
            <w:pPr>
              <w:spacing w:after="0"/>
              <w:rPr>
                <w:sz w:val="1"/>
                <w:szCs w:val="1"/>
                <w:color w:val="auto"/>
              </w:rPr>
            </w:pPr>
          </w:p>
        </w:tc>
      </w:tr>
      <w:tr>
        <w:trPr>
          <w:trHeight w:val="198"/>
        </w:trPr>
        <w:tc>
          <w:tcPr>
            <w:tcW w:w="2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gridSpan w:val="4"/>
          </w:tcPr>
          <w:p>
            <w:pPr>
              <w:jc w:val="right"/>
              <w:ind w:right="624"/>
              <w:spacing w:after="0"/>
              <w:rPr>
                <w:sz w:val="20"/>
                <w:szCs w:val="20"/>
                <w:color w:val="auto"/>
              </w:rPr>
            </w:pPr>
            <w:r>
              <w:rPr>
                <w:rFonts w:ascii="Times New Roman" w:cs="Times New Roman" w:eastAsia="Times New Roman" w:hAnsi="Times New Roman"/>
                <w:sz w:val="15"/>
                <w:szCs w:val="15"/>
                <w:color w:val="auto"/>
              </w:rPr>
              <w:t>(in thousands, except share data)</w:t>
            </w:r>
          </w:p>
        </w:tc>
        <w:tc>
          <w:tcPr>
            <w:tcW w:w="0" w:type="dxa"/>
            <w:vAlign w:val="bottom"/>
          </w:tcPr>
          <w:p>
            <w:pPr>
              <w:spacing w:after="0"/>
              <w:rPr>
                <w:sz w:val="1"/>
                <w:szCs w:val="1"/>
                <w:color w:val="auto"/>
              </w:rPr>
            </w:pPr>
          </w:p>
        </w:tc>
      </w:tr>
      <w:tr>
        <w:trPr>
          <w:trHeight w:val="205"/>
        </w:trPr>
        <w:tc>
          <w:tcPr>
            <w:tcW w:w="7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ASSETS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8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8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41,386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152,432</w:t>
            </w:r>
          </w:p>
        </w:tc>
        <w:tc>
          <w:tcPr>
            <w:tcW w:w="0" w:type="dxa"/>
            <w:vAlign w:val="bottom"/>
          </w:tcPr>
          <w:p>
            <w:pPr>
              <w:spacing w:after="0"/>
              <w:rPr>
                <w:sz w:val="1"/>
                <w:szCs w:val="1"/>
                <w:color w:val="auto"/>
              </w:rPr>
            </w:pPr>
          </w:p>
        </w:tc>
      </w:tr>
      <w:tr>
        <w:trPr>
          <w:trHeight w:val="200"/>
        </w:trPr>
        <w:tc>
          <w:tcPr>
            <w:tcW w:w="780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Accounts receivable, net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56,686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43,738</w:t>
            </w:r>
          </w:p>
        </w:tc>
        <w:tc>
          <w:tcPr>
            <w:tcW w:w="0" w:type="dxa"/>
            <w:vAlign w:val="bottom"/>
          </w:tcPr>
          <w:p>
            <w:pPr>
              <w:spacing w:after="0"/>
              <w:rPr>
                <w:sz w:val="1"/>
                <w:szCs w:val="1"/>
                <w:color w:val="auto"/>
              </w:rPr>
            </w:pPr>
          </w:p>
        </w:tc>
      </w:tr>
      <w:tr>
        <w:trPr>
          <w:trHeight w:val="205"/>
        </w:trPr>
        <w:tc>
          <w:tcPr>
            <w:tcW w:w="78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Inventories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51,672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43,921</w:t>
            </w:r>
          </w:p>
        </w:tc>
        <w:tc>
          <w:tcPr>
            <w:tcW w:w="0" w:type="dxa"/>
            <w:vAlign w:val="bottom"/>
          </w:tcPr>
          <w:p>
            <w:pPr>
              <w:spacing w:after="0"/>
              <w:rPr>
                <w:sz w:val="1"/>
                <w:szCs w:val="1"/>
                <w:color w:val="auto"/>
              </w:rPr>
            </w:pPr>
          </w:p>
        </w:tc>
      </w:tr>
      <w:tr>
        <w:trPr>
          <w:trHeight w:val="200"/>
        </w:trPr>
        <w:tc>
          <w:tcPr>
            <w:tcW w:w="780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Income taxes receivables</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10,738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2,698</w:t>
            </w:r>
          </w:p>
        </w:tc>
        <w:tc>
          <w:tcPr>
            <w:tcW w:w="0" w:type="dxa"/>
            <w:vAlign w:val="bottom"/>
          </w:tcPr>
          <w:p>
            <w:pPr>
              <w:spacing w:after="0"/>
              <w:rPr>
                <w:sz w:val="1"/>
                <w:szCs w:val="1"/>
                <w:color w:val="auto"/>
              </w:rPr>
            </w:pPr>
          </w:p>
        </w:tc>
      </w:tr>
      <w:tr>
        <w:trPr>
          <w:trHeight w:val="205"/>
        </w:trPr>
        <w:tc>
          <w:tcPr>
            <w:tcW w:w="78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current assets</w:t>
            </w: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7,358</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3,869</w:t>
            </w:r>
          </w:p>
        </w:tc>
        <w:tc>
          <w:tcPr>
            <w:tcW w:w="0" w:type="dxa"/>
            <w:vAlign w:val="bottom"/>
          </w:tcPr>
          <w:p>
            <w:pPr>
              <w:spacing w:after="0"/>
              <w:rPr>
                <w:sz w:val="1"/>
                <w:szCs w:val="1"/>
                <w:color w:val="auto"/>
              </w:rPr>
            </w:pPr>
          </w:p>
        </w:tc>
      </w:tr>
      <w:tr>
        <w:trPr>
          <w:trHeight w:val="194"/>
        </w:trPr>
        <w:tc>
          <w:tcPr>
            <w:tcW w:w="7800" w:type="dxa"/>
            <w:vAlign w:val="bottom"/>
            <w:gridSpan w:val="3"/>
          </w:tcPr>
          <w:p>
            <w:pPr>
              <w:ind w:left="560"/>
              <w:spacing w:after="0"/>
              <w:rPr>
                <w:sz w:val="20"/>
                <w:szCs w:val="20"/>
                <w:color w:val="auto"/>
              </w:rPr>
            </w:pPr>
            <w:r>
              <w:rPr>
                <w:rFonts w:ascii="Times New Roman" w:cs="Times New Roman" w:eastAsia="Times New Roman" w:hAnsi="Times New Roman"/>
                <w:sz w:val="15"/>
                <w:szCs w:val="15"/>
                <w:color w:val="auto"/>
              </w:rPr>
              <w:t>Total current assets</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167,840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246,658</w:t>
            </w:r>
          </w:p>
        </w:tc>
        <w:tc>
          <w:tcPr>
            <w:tcW w:w="0" w:type="dxa"/>
            <w:vAlign w:val="bottom"/>
          </w:tcPr>
          <w:p>
            <w:pPr>
              <w:spacing w:after="0"/>
              <w:rPr>
                <w:sz w:val="1"/>
                <w:szCs w:val="1"/>
                <w:color w:val="auto"/>
              </w:rPr>
            </w:pPr>
          </w:p>
        </w:tc>
      </w:tr>
      <w:tr>
        <w:trPr>
          <w:trHeight w:val="205"/>
        </w:trPr>
        <w:tc>
          <w:tcPr>
            <w:tcW w:w="7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equipment and improvements, net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27,078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12,132</w:t>
            </w:r>
          </w:p>
        </w:tc>
        <w:tc>
          <w:tcPr>
            <w:tcW w:w="0" w:type="dxa"/>
            <w:vAlign w:val="bottom"/>
          </w:tcPr>
          <w:p>
            <w:pPr>
              <w:spacing w:after="0"/>
              <w:rPr>
                <w:sz w:val="1"/>
                <w:szCs w:val="1"/>
                <w:color w:val="auto"/>
              </w:rPr>
            </w:pPr>
          </w:p>
        </w:tc>
      </w:tr>
      <w:tr>
        <w:trPr>
          <w:trHeight w:val="200"/>
        </w:trPr>
        <w:tc>
          <w:tcPr>
            <w:tcW w:w="78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15,435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15,684</w:t>
            </w:r>
          </w:p>
        </w:tc>
        <w:tc>
          <w:tcPr>
            <w:tcW w:w="0" w:type="dxa"/>
            <w:vAlign w:val="bottom"/>
          </w:tcPr>
          <w:p>
            <w:pPr>
              <w:spacing w:after="0"/>
              <w:rPr>
                <w:sz w:val="1"/>
                <w:szCs w:val="1"/>
                <w:color w:val="auto"/>
              </w:rPr>
            </w:pPr>
          </w:p>
        </w:tc>
      </w:tr>
      <w:tr>
        <w:trPr>
          <w:trHeight w:val="205"/>
        </w:trPr>
        <w:tc>
          <w:tcPr>
            <w:tcW w:w="7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Intangible assets, net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315,797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118,029</w:t>
            </w:r>
          </w:p>
        </w:tc>
        <w:tc>
          <w:tcPr>
            <w:tcW w:w="0" w:type="dxa"/>
            <w:vAlign w:val="bottom"/>
          </w:tcPr>
          <w:p>
            <w:pPr>
              <w:spacing w:after="0"/>
              <w:rPr>
                <w:sz w:val="1"/>
                <w:szCs w:val="1"/>
                <w:color w:val="auto"/>
              </w:rPr>
            </w:pPr>
          </w:p>
        </w:tc>
      </w:tr>
      <w:tr>
        <w:trPr>
          <w:trHeight w:val="200"/>
        </w:trPr>
        <w:tc>
          <w:tcPr>
            <w:tcW w:w="78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341,645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225,522</w:t>
            </w:r>
          </w:p>
        </w:tc>
        <w:tc>
          <w:tcPr>
            <w:tcW w:w="0" w:type="dxa"/>
            <w:vAlign w:val="bottom"/>
          </w:tcPr>
          <w:p>
            <w:pPr>
              <w:spacing w:after="0"/>
              <w:rPr>
                <w:sz w:val="1"/>
                <w:szCs w:val="1"/>
                <w:color w:val="auto"/>
              </w:rPr>
            </w:pPr>
          </w:p>
        </w:tc>
      </w:tr>
      <w:tr>
        <w:trPr>
          <w:trHeight w:val="205"/>
        </w:trPr>
        <w:tc>
          <w:tcPr>
            <w:tcW w:w="7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tax assets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439</w:t>
            </w:r>
          </w:p>
        </w:tc>
        <w:tc>
          <w:tcPr>
            <w:tcW w:w="0" w:type="dxa"/>
            <w:vAlign w:val="bottom"/>
          </w:tcPr>
          <w:p>
            <w:pPr>
              <w:spacing w:after="0"/>
              <w:rPr>
                <w:sz w:val="1"/>
                <w:szCs w:val="1"/>
                <w:color w:val="auto"/>
              </w:rPr>
            </w:pPr>
          </w:p>
        </w:tc>
      </w:tr>
      <w:tr>
        <w:trPr>
          <w:trHeight w:val="200"/>
        </w:trPr>
        <w:tc>
          <w:tcPr>
            <w:tcW w:w="78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Other non-current assets</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1,727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1,067</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Total assets</w:t>
            </w: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869,530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619,531</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5"/>
                <w:szCs w:val="15"/>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80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80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Current portion of long-term debt</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15,523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78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Accounts payable</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22,769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22,586</w:t>
            </w:r>
          </w:p>
        </w:tc>
        <w:tc>
          <w:tcPr>
            <w:tcW w:w="0" w:type="dxa"/>
            <w:vAlign w:val="bottom"/>
          </w:tcPr>
          <w:p>
            <w:pPr>
              <w:spacing w:after="0"/>
              <w:rPr>
                <w:sz w:val="1"/>
                <w:szCs w:val="1"/>
                <w:color w:val="auto"/>
              </w:rPr>
            </w:pPr>
          </w:p>
        </w:tc>
      </w:tr>
      <w:tr>
        <w:trPr>
          <w:trHeight w:val="200"/>
        </w:trPr>
        <w:tc>
          <w:tcPr>
            <w:tcW w:w="780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Accrued compensation</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11,440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12,934</w:t>
            </w:r>
          </w:p>
        </w:tc>
        <w:tc>
          <w:tcPr>
            <w:tcW w:w="0" w:type="dxa"/>
            <w:vAlign w:val="bottom"/>
          </w:tcPr>
          <w:p>
            <w:pPr>
              <w:spacing w:after="0"/>
              <w:rPr>
                <w:sz w:val="1"/>
                <w:szCs w:val="1"/>
                <w:color w:val="auto"/>
              </w:rPr>
            </w:pPr>
          </w:p>
        </w:tc>
      </w:tr>
      <w:tr>
        <w:trPr>
          <w:trHeight w:val="205"/>
        </w:trPr>
        <w:tc>
          <w:tcPr>
            <w:tcW w:w="78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Unearned revenue</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21,266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13,589</w:t>
            </w:r>
          </w:p>
        </w:tc>
        <w:tc>
          <w:tcPr>
            <w:tcW w:w="0" w:type="dxa"/>
            <w:vAlign w:val="bottom"/>
          </w:tcPr>
          <w:p>
            <w:pPr>
              <w:spacing w:after="0"/>
              <w:rPr>
                <w:sz w:val="1"/>
                <w:szCs w:val="1"/>
                <w:color w:val="auto"/>
              </w:rPr>
            </w:pPr>
          </w:p>
        </w:tc>
      </w:tr>
      <w:tr>
        <w:trPr>
          <w:trHeight w:val="200"/>
        </w:trPr>
        <w:tc>
          <w:tcPr>
            <w:tcW w:w="780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Contingent consideration on acquired businesses</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205"/>
        </w:trPr>
        <w:tc>
          <w:tcPr>
            <w:tcW w:w="78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2,890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2,633</w:t>
            </w:r>
          </w:p>
        </w:tc>
        <w:tc>
          <w:tcPr>
            <w:tcW w:w="0" w:type="dxa"/>
            <w:vAlign w:val="bottom"/>
          </w:tcPr>
          <w:p>
            <w:pPr>
              <w:spacing w:after="0"/>
              <w:rPr>
                <w:sz w:val="1"/>
                <w:szCs w:val="1"/>
                <w:color w:val="auto"/>
              </w:rPr>
            </w:pPr>
          </w:p>
        </w:tc>
      </w:tr>
      <w:tr>
        <w:trPr>
          <w:trHeight w:val="200"/>
        </w:trPr>
        <w:tc>
          <w:tcPr>
            <w:tcW w:w="780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9,989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7,179</w:t>
            </w:r>
          </w:p>
        </w:tc>
        <w:tc>
          <w:tcPr>
            <w:tcW w:w="0" w:type="dxa"/>
            <w:vAlign w:val="bottom"/>
          </w:tcPr>
          <w:p>
            <w:pPr>
              <w:spacing w:after="0"/>
              <w:rPr>
                <w:sz w:val="1"/>
                <w:szCs w:val="1"/>
                <w:color w:val="auto"/>
              </w:rPr>
            </w:pPr>
          </w:p>
        </w:tc>
      </w:tr>
      <w:tr>
        <w:trPr>
          <w:trHeight w:val="198"/>
        </w:trPr>
        <w:tc>
          <w:tcPr>
            <w:tcW w:w="780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89,977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58,941</w:t>
            </w:r>
          </w:p>
        </w:tc>
        <w:tc>
          <w:tcPr>
            <w:tcW w:w="0" w:type="dxa"/>
            <w:vAlign w:val="bottom"/>
          </w:tcPr>
          <w:p>
            <w:pPr>
              <w:spacing w:after="0"/>
              <w:rPr>
                <w:sz w:val="1"/>
                <w:szCs w:val="1"/>
                <w:color w:val="auto"/>
              </w:rPr>
            </w:pPr>
          </w:p>
        </w:tc>
      </w:tr>
      <w:tr>
        <w:trPr>
          <w:trHeight w:val="200"/>
        </w:trPr>
        <w:tc>
          <w:tcPr>
            <w:tcW w:w="78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Income taxes payable</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2,334</w:t>
            </w:r>
          </w:p>
        </w:tc>
        <w:tc>
          <w:tcPr>
            <w:tcW w:w="0" w:type="dxa"/>
            <w:vAlign w:val="bottom"/>
          </w:tcPr>
          <w:p>
            <w:pPr>
              <w:spacing w:after="0"/>
              <w:rPr>
                <w:sz w:val="1"/>
                <w:szCs w:val="1"/>
                <w:color w:val="auto"/>
              </w:rPr>
            </w:pPr>
          </w:p>
        </w:tc>
      </w:tr>
      <w:tr>
        <w:trPr>
          <w:trHeight w:val="205"/>
        </w:trPr>
        <w:tc>
          <w:tcPr>
            <w:tcW w:w="7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tax liabilities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15,222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13,493</w:t>
            </w:r>
          </w:p>
        </w:tc>
        <w:tc>
          <w:tcPr>
            <w:tcW w:w="0" w:type="dxa"/>
            <w:vAlign w:val="bottom"/>
          </w:tcPr>
          <w:p>
            <w:pPr>
              <w:spacing w:after="0"/>
              <w:rPr>
                <w:sz w:val="1"/>
                <w:szCs w:val="1"/>
                <w:color w:val="auto"/>
              </w:rPr>
            </w:pPr>
          </w:p>
        </w:tc>
      </w:tr>
      <w:tr>
        <w:trPr>
          <w:trHeight w:val="200"/>
        </w:trPr>
        <w:tc>
          <w:tcPr>
            <w:tcW w:w="78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Long-term debt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260,208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45,799</w:t>
            </w:r>
          </w:p>
        </w:tc>
        <w:tc>
          <w:tcPr>
            <w:tcW w:w="0" w:type="dxa"/>
            <w:vAlign w:val="bottom"/>
          </w:tcPr>
          <w:p>
            <w:pPr>
              <w:spacing w:after="0"/>
              <w:rPr>
                <w:sz w:val="1"/>
                <w:szCs w:val="1"/>
                <w:color w:val="auto"/>
              </w:rPr>
            </w:pPr>
          </w:p>
        </w:tc>
      </w:tr>
      <w:tr>
        <w:trPr>
          <w:trHeight w:val="205"/>
        </w:trPr>
        <w:tc>
          <w:tcPr>
            <w:tcW w:w="7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17,625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18,368</w:t>
            </w:r>
          </w:p>
        </w:tc>
        <w:tc>
          <w:tcPr>
            <w:tcW w:w="0" w:type="dxa"/>
            <w:vAlign w:val="bottom"/>
          </w:tcPr>
          <w:p>
            <w:pPr>
              <w:spacing w:after="0"/>
              <w:rPr>
                <w:sz w:val="1"/>
                <w:szCs w:val="1"/>
                <w:color w:val="auto"/>
              </w:rPr>
            </w:pPr>
          </w:p>
        </w:tc>
      </w:tr>
      <w:tr>
        <w:trPr>
          <w:trHeight w:val="200"/>
        </w:trPr>
        <w:tc>
          <w:tcPr>
            <w:tcW w:w="78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3,720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8,079</w:t>
            </w:r>
          </w:p>
        </w:tc>
        <w:tc>
          <w:tcPr>
            <w:tcW w:w="0" w:type="dxa"/>
            <w:vAlign w:val="bottom"/>
          </w:tcPr>
          <w:p>
            <w:pPr>
              <w:spacing w:after="0"/>
              <w:rPr>
                <w:sz w:val="1"/>
                <w:szCs w:val="1"/>
                <w:color w:val="auto"/>
              </w:rPr>
            </w:pPr>
          </w:p>
        </w:tc>
      </w:tr>
      <w:tr>
        <w:trPr>
          <w:trHeight w:val="198"/>
        </w:trPr>
        <w:tc>
          <w:tcPr>
            <w:tcW w:w="780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Total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389,026</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147,014</w:t>
            </w:r>
          </w:p>
        </w:tc>
        <w:tc>
          <w:tcPr>
            <w:tcW w:w="0" w:type="dxa"/>
            <w:vAlign w:val="bottom"/>
          </w:tcPr>
          <w:p>
            <w:pPr>
              <w:spacing w:after="0"/>
              <w:rPr>
                <w:sz w:val="1"/>
                <w:szCs w:val="1"/>
                <w:color w:val="auto"/>
              </w:rPr>
            </w:pPr>
          </w:p>
        </w:tc>
      </w:tr>
      <w:tr>
        <w:trPr>
          <w:trHeight w:val="142"/>
        </w:trPr>
        <w:tc>
          <w:tcPr>
            <w:tcW w:w="78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5"/>
                <w:szCs w:val="15"/>
                <w:color w:val="auto"/>
              </w:rPr>
              <w:t xml:space="preserve">Commitments and Contingencies (See </w:t>
            </w:r>
            <w:r>
              <w:rPr>
                <w:rFonts w:ascii="Times New Roman" w:cs="Times New Roman" w:eastAsia="Times New Roman" w:hAnsi="Times New Roman"/>
                <w:sz w:val="15"/>
                <w:szCs w:val="15"/>
                <w:color w:val="0000FF"/>
              </w:rPr>
              <w:t>Note 13</w:t>
            </w:r>
            <w:r>
              <w:rPr>
                <w:rFonts w:ascii="Times New Roman" w:cs="Times New Roman" w:eastAsia="Times New Roman" w:hAnsi="Times New Roman"/>
                <w:sz w:val="15"/>
                <w:szCs w:val="15"/>
                <w:color w:val="auto"/>
              </w:rPr>
              <w:t>)</w:t>
            </w: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Stockholders' equity:</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80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Preferred stock, $.01 par value; 2,000,000 shares authorized; none issued and outstanding</w:t>
            </w:r>
          </w:p>
        </w:tc>
        <w:tc>
          <w:tcPr>
            <w:tcW w:w="22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78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Common stock, $.01 par value; 60,000,000 shares authorized; 41,525,461 and 40,653,035 shares issued</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407</w:t>
            </w:r>
          </w:p>
        </w:tc>
        <w:tc>
          <w:tcPr>
            <w:tcW w:w="0" w:type="dxa"/>
            <w:vAlign w:val="bottom"/>
          </w:tcPr>
          <w:p>
            <w:pPr>
              <w:spacing w:after="0"/>
              <w:rPr>
                <w:sz w:val="1"/>
                <w:szCs w:val="1"/>
                <w:color w:val="auto"/>
              </w:rPr>
            </w:pPr>
          </w:p>
        </w:tc>
      </w:tr>
      <w:tr>
        <w:trPr>
          <w:trHeight w:val="200"/>
        </w:trPr>
        <w:tc>
          <w:tcPr>
            <w:tcW w:w="780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376,579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370,699</w:t>
            </w:r>
          </w:p>
        </w:tc>
        <w:tc>
          <w:tcPr>
            <w:tcW w:w="0" w:type="dxa"/>
            <w:vAlign w:val="bottom"/>
          </w:tcPr>
          <w:p>
            <w:pPr>
              <w:spacing w:after="0"/>
              <w:rPr>
                <w:sz w:val="1"/>
                <w:szCs w:val="1"/>
                <w:color w:val="auto"/>
              </w:rPr>
            </w:pPr>
          </w:p>
        </w:tc>
      </w:tr>
      <w:tr>
        <w:trPr>
          <w:trHeight w:val="205"/>
        </w:trPr>
        <w:tc>
          <w:tcPr>
            <w:tcW w:w="78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Retained earnings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184,726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180,692</w:t>
            </w:r>
          </w:p>
        </w:tc>
        <w:tc>
          <w:tcPr>
            <w:tcW w:w="0" w:type="dxa"/>
            <w:vAlign w:val="bottom"/>
          </w:tcPr>
          <w:p>
            <w:pPr>
              <w:spacing w:after="0"/>
              <w:rPr>
                <w:sz w:val="1"/>
                <w:szCs w:val="1"/>
                <w:color w:val="auto"/>
              </w:rPr>
            </w:pPr>
          </w:p>
        </w:tc>
      </w:tr>
      <w:tr>
        <w:trPr>
          <w:trHeight w:val="200"/>
        </w:trPr>
        <w:tc>
          <w:tcPr>
            <w:tcW w:w="780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(22,906)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(22,746)</w:t>
            </w:r>
          </w:p>
        </w:tc>
        <w:tc>
          <w:tcPr>
            <w:tcW w:w="0" w:type="dxa"/>
            <w:vAlign w:val="bottom"/>
          </w:tcPr>
          <w:p>
            <w:pPr>
              <w:spacing w:after="0"/>
              <w:rPr>
                <w:sz w:val="1"/>
                <w:szCs w:val="1"/>
                <w:color w:val="auto"/>
              </w:rPr>
            </w:pPr>
          </w:p>
        </w:tc>
      </w:tr>
      <w:tr>
        <w:trPr>
          <w:trHeight w:val="205"/>
        </w:trPr>
        <w:tc>
          <w:tcPr>
            <w:tcW w:w="78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Treasury stock, at cost, 6,447,449 and 6,390,645 shares</w:t>
            </w: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(58,310)</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(56,535)</w:t>
            </w:r>
          </w:p>
        </w:tc>
        <w:tc>
          <w:tcPr>
            <w:tcW w:w="0" w:type="dxa"/>
            <w:vAlign w:val="bottom"/>
          </w:tcPr>
          <w:p>
            <w:pPr>
              <w:spacing w:after="0"/>
              <w:rPr>
                <w:sz w:val="1"/>
                <w:szCs w:val="1"/>
                <w:color w:val="auto"/>
              </w:rPr>
            </w:pPr>
          </w:p>
        </w:tc>
      </w:tr>
      <w:tr>
        <w:trPr>
          <w:trHeight w:val="194"/>
        </w:trPr>
        <w:tc>
          <w:tcPr>
            <w:tcW w:w="780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5"/>
                <w:szCs w:val="15"/>
                <w:color w:val="auto"/>
              </w:rPr>
              <w:t>Total stockholders' equity</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480,504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472,517</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Total liabilities and stockholders' equity</w:t>
            </w: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869,530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619,531</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0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514"/>
              <w:spacing w:after="0"/>
              <w:rPr>
                <w:sz w:val="20"/>
                <w:szCs w:val="20"/>
                <w:color w:val="auto"/>
              </w:rPr>
            </w:pPr>
            <w:r>
              <w:rPr>
                <w:rFonts w:ascii="Times New Roman" w:cs="Times New Roman" w:eastAsia="Times New Roman" w:hAnsi="Times New Roman"/>
                <w:sz w:val="17"/>
                <w:szCs w:val="17"/>
                <w:color w:val="auto"/>
              </w:rPr>
              <w:t>Six months ended March 31,</w:t>
            </w:r>
          </w:p>
        </w:tc>
      </w:tr>
      <w:tr>
        <w:trPr>
          <w:trHeight w:val="226"/>
        </w:trPr>
        <w:tc>
          <w:tcPr>
            <w:tcW w:w="80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2021</w:t>
            </w:r>
          </w:p>
        </w:tc>
      </w:tr>
      <w:tr>
        <w:trPr>
          <w:trHeight w:val="223"/>
        </w:trPr>
        <w:tc>
          <w:tcPr>
            <w:tcW w:w="8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1020" w:type="dxa"/>
            <w:vAlign w:val="bottom"/>
          </w:tcPr>
          <w:p>
            <w:pPr>
              <w:spacing w:after="0"/>
              <w:rPr>
                <w:sz w:val="19"/>
                <w:szCs w:val="19"/>
                <w:color w:val="auto"/>
              </w:rPr>
            </w:pPr>
          </w:p>
        </w:tc>
      </w:tr>
      <w:tr>
        <w:trPr>
          <w:trHeight w:val="23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activities:</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6"/>
        </w:trPr>
        <w:tc>
          <w:tcPr>
            <w:tcW w:w="8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4,034</w:t>
            </w:r>
          </w:p>
        </w:tc>
        <w:tc>
          <w:tcPr>
            <w:tcW w:w="12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2,621</w:t>
            </w:r>
          </w:p>
        </w:tc>
      </w:tr>
      <w:tr>
        <w:trPr>
          <w:trHeight w:val="233"/>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income to net cash (used in) provided by operating activities:</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6"/>
        </w:trPr>
        <w:tc>
          <w:tcPr>
            <w:tcW w:w="8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Depreciation of property, equipment and improvements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2,164</w:t>
            </w:r>
          </w:p>
        </w:tc>
      </w:tr>
      <w:tr>
        <w:trPr>
          <w:trHeight w:val="23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13,354</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7,888</w:t>
            </w:r>
          </w:p>
        </w:tc>
      </w:tr>
      <w:tr>
        <w:trPr>
          <w:trHeight w:val="226"/>
        </w:trPr>
        <w:tc>
          <w:tcPr>
            <w:tcW w:w="8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Stock-based compensation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4,222</w:t>
            </w:r>
          </w:p>
        </w:tc>
      </w:tr>
      <w:tr>
        <w:trPr>
          <w:trHeight w:val="23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Deferred income tax provision</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2,160</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w:t>
            </w:r>
          </w:p>
        </w:tc>
      </w:tr>
      <w:tr>
        <w:trPr>
          <w:trHeight w:val="226"/>
        </w:trPr>
        <w:tc>
          <w:tcPr>
            <w:tcW w:w="8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Loss on sale of property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3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Change in fair value of contingent consideration</w:t>
            </w: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5,772</w:t>
            </w:r>
          </w:p>
        </w:tc>
      </w:tr>
      <w:tr>
        <w:trPr>
          <w:trHeight w:val="226"/>
        </w:trPr>
        <w:tc>
          <w:tcPr>
            <w:tcW w:w="8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Provision for bad debt and product returns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w:t>
            </w:r>
          </w:p>
        </w:tc>
      </w:tr>
      <w:tr>
        <w:trPr>
          <w:trHeight w:val="23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Provision for inventory obsolescence</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5,732</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w:t>
            </w:r>
          </w:p>
        </w:tc>
      </w:tr>
      <w:tr>
        <w:trPr>
          <w:trHeight w:val="226"/>
        </w:trPr>
        <w:tc>
          <w:tcPr>
            <w:tcW w:w="8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Restructuring charge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w:t>
            </w:r>
          </w:p>
        </w:tc>
      </w:tr>
      <w:tr>
        <w:trPr>
          <w:trHeight w:val="23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Other</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26"/>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Changes in operating assets and liabilities (net of acquisitions)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(37,272)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(4,829)</w:t>
            </w:r>
          </w:p>
        </w:tc>
      </w:tr>
      <w:tr>
        <w:trPr>
          <w:trHeight w:val="227"/>
        </w:trPr>
        <w:tc>
          <w:tcPr>
            <w:tcW w:w="8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Net cash (used in) provided by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21,297</w:t>
            </w:r>
          </w:p>
        </w:tc>
      </w:tr>
      <w:tr>
        <w:trPr>
          <w:trHeight w:val="215"/>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7"/>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Acquisition of businesses, net of cash acquired</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(347,522)</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(7,095)</w:t>
            </w:r>
          </w:p>
        </w:tc>
      </w:tr>
      <w:tr>
        <w:trPr>
          <w:trHeight w:val="226"/>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Purchase of property, equipment, improvements and certain other intangible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(1,287)</w:t>
            </w:r>
          </w:p>
        </w:tc>
      </w:tr>
      <w:tr>
        <w:trPr>
          <w:trHeight w:val="227"/>
        </w:trPr>
        <w:tc>
          <w:tcPr>
            <w:tcW w:w="8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(349,186)</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(8,382)</w:t>
            </w:r>
          </w:p>
        </w:tc>
      </w:tr>
      <w:tr>
        <w:trPr>
          <w:trHeight w:val="215"/>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7"/>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long-term debt</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350,000</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w:t>
            </w:r>
          </w:p>
        </w:tc>
      </w:tr>
      <w:tr>
        <w:trPr>
          <w:trHeight w:val="226"/>
        </w:trPr>
        <w:tc>
          <w:tcPr>
            <w:tcW w:w="8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on long-term debt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(107,050)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(15,625)</w:t>
            </w:r>
          </w:p>
        </w:tc>
      </w:tr>
      <w:tr>
        <w:trPr>
          <w:trHeight w:val="233"/>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for contingent consideration</w:t>
            </w: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(4,200)</w:t>
            </w:r>
          </w:p>
        </w:tc>
      </w:tr>
      <w:tr>
        <w:trPr>
          <w:trHeight w:val="226"/>
        </w:trPr>
        <w:tc>
          <w:tcPr>
            <w:tcW w:w="8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issuance of stock, net of offering expenses</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73,830</w:t>
            </w:r>
          </w:p>
        </w:tc>
      </w:tr>
      <w:tr>
        <w:trPr>
          <w:trHeight w:val="233"/>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stock option plan transactions</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5,598</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6,620</w:t>
            </w:r>
          </w:p>
        </w:tc>
      </w:tr>
      <w:tr>
        <w:trPr>
          <w:trHeight w:val="226"/>
        </w:trPr>
        <w:tc>
          <w:tcPr>
            <w:tcW w:w="8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employee stock purchase plan transactions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w:t>
            </w:r>
          </w:p>
        </w:tc>
      </w:tr>
      <w:tr>
        <w:trPr>
          <w:trHeight w:val="233"/>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Taxes paid for net share settlement of share-based payment options and awards</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(6,408)</w:t>
            </w:r>
          </w:p>
        </w:tc>
        <w:tc>
          <w:tcPr>
            <w:tcW w:w="12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(1,865)</w:t>
            </w:r>
          </w:p>
        </w:tc>
      </w:tr>
      <w:tr>
        <w:trPr>
          <w:trHeight w:val="219"/>
        </w:trPr>
        <w:tc>
          <w:tcPr>
            <w:tcW w:w="80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242,810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59,997</w:t>
            </w:r>
          </w:p>
        </w:tc>
      </w:tr>
      <w:tr>
        <w:trPr>
          <w:trHeight w:val="23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w:t>
            </w:r>
          </w:p>
        </w:tc>
        <w:tc>
          <w:tcPr>
            <w:tcW w:w="12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r>
      <w:tr>
        <w:trPr>
          <w:trHeight w:val="219"/>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 and cash equivalents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(111,046)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73,060</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152,432</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54,129</w:t>
            </w:r>
          </w:p>
        </w:tc>
      </w:tr>
      <w:tr>
        <w:trPr>
          <w:trHeight w:val="227"/>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41,386</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127,189</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15"/>
        </w:trPr>
        <w:tc>
          <w:tcPr>
            <w:tcW w:w="80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226"/>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Supplemental schedule of non-cash investing and financing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8"/>
        </w:trPr>
        <w:tc>
          <w:tcPr>
            <w:tcW w:w="8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Transfer of inventory to property, equipment and improvements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(1,215)</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(1,399)</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r>
        <w:trPr>
          <w:trHeight w:val="203"/>
        </w:trPr>
        <w:tc>
          <w:tcPr>
            <w:tcW w:w="8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Contingent consideration recognized related to acquisition of business</w:t>
            </w: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(8,000)</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9"/>
        </w:trPr>
        <w:tc>
          <w:tcPr>
            <w:tcW w:w="8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Tenant improvement allowance</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Accrual for purchase of property, equipment, improvements and certain other intangible assets</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w:t>
            </w: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Additional</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7"/>
                <w:szCs w:val="17"/>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1740" w:type="dxa"/>
            <w:vAlign w:val="bottom"/>
            <w:gridSpan w:val="5"/>
          </w:tcPr>
          <w:p>
            <w:pPr>
              <w:ind w:left="360"/>
              <w:spacing w:after="0"/>
              <w:rPr>
                <w:sz w:val="20"/>
                <w:szCs w:val="20"/>
                <w:color w:val="auto"/>
              </w:rPr>
            </w:pPr>
            <w:r>
              <w:rPr>
                <w:rFonts w:ascii="Times New Roman" w:cs="Times New Roman" w:eastAsia="Times New Roman" w:hAnsi="Times New Roman"/>
                <w:sz w:val="14"/>
                <w:szCs w:val="14"/>
                <w:color w:val="auto"/>
              </w:rPr>
              <w:t>Common Stock</w:t>
            </w:r>
          </w:p>
        </w:tc>
        <w:tc>
          <w:tcPr>
            <w:tcW w:w="17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color w:val="auto"/>
              </w:rPr>
              <w:t>Treasury Stock</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Paid-In</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tcPr>
          <w:p>
            <w:pPr>
              <w:spacing w:after="0"/>
              <w:rPr>
                <w:sz w:val="17"/>
                <w:szCs w:val="17"/>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Par Value</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7"/>
                <w:szCs w:val="17"/>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Value</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Capital</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Loss</w:t>
            </w:r>
          </w:p>
        </w:tc>
        <w:tc>
          <w:tcPr>
            <w:tcW w:w="120" w:type="dxa"/>
            <w:vAlign w:val="bottom"/>
          </w:tcPr>
          <w:p>
            <w:pPr>
              <w:spacing w:after="0"/>
              <w:rPr>
                <w:sz w:val="17"/>
                <w:szCs w:val="17"/>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3"/>
        </w:trPr>
        <w:tc>
          <w:tcPr>
            <w:tcW w:w="33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December 31, 2020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36,090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285,536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170,023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377,642</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2,928</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net of offering expenses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73,790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73,830</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 issuances</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139"/>
        </w:trPr>
        <w:tc>
          <w:tcPr>
            <w:tcW w:w="33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paid for net share settlement of share-based</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0" w:type="dxa"/>
            <w:vAlign w:val="bottom"/>
          </w:tcPr>
          <w:p>
            <w:pPr>
              <w:spacing w:after="0"/>
              <w:rPr>
                <w:sz w:val="1"/>
                <w:szCs w:val="1"/>
                <w:color w:val="auto"/>
              </w:rPr>
            </w:pPr>
          </w:p>
        </w:tc>
      </w:tr>
      <w:tr>
        <w:trPr>
          <w:trHeight w:val="193"/>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awards</w:t>
            </w: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stock under stock award plans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2,676</w:t>
            </w:r>
          </w:p>
        </w:tc>
        <w:tc>
          <w:tcPr>
            <w:tcW w:w="0" w:type="dxa"/>
            <w:vAlign w:val="bottom"/>
          </w:tcPr>
          <w:p>
            <w:pPr>
              <w:spacing w:after="0"/>
              <w:rPr>
                <w:sz w:val="1"/>
                <w:szCs w:val="1"/>
                <w:color w:val="auto"/>
              </w:rPr>
            </w:pPr>
          </w:p>
        </w:tc>
      </w:tr>
      <w:tr>
        <w:trPr>
          <w:trHeight w:val="196"/>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2,477</w:t>
            </w:r>
          </w:p>
        </w:tc>
        <w:tc>
          <w:tcPr>
            <w:tcW w:w="0" w:type="dxa"/>
            <w:vAlign w:val="bottom"/>
          </w:tcPr>
          <w:p>
            <w:pPr>
              <w:spacing w:after="0"/>
              <w:rPr>
                <w:sz w:val="1"/>
                <w:szCs w:val="1"/>
                <w:color w:val="auto"/>
              </w:rPr>
            </w:pPr>
          </w:p>
        </w:tc>
      </w:tr>
      <w:tr>
        <w:trPr>
          <w:trHeight w:val="22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March 31, 2021</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40,442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364,604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(22,212)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459,152</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September 30, 2020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35,513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279,741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170,330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(23,817)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371,500</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net of offering expenses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73,790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73,830</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 issuances</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0" w:type="dxa"/>
            <w:vAlign w:val="bottom"/>
          </w:tcPr>
          <w:p>
            <w:pPr>
              <w:spacing w:after="0"/>
              <w:rPr>
                <w:sz w:val="1"/>
                <w:szCs w:val="1"/>
                <w:color w:val="auto"/>
              </w:rPr>
            </w:pPr>
          </w:p>
        </w:tc>
      </w:tr>
      <w:tr>
        <w:trPr>
          <w:trHeight w:val="139"/>
        </w:trPr>
        <w:tc>
          <w:tcPr>
            <w:tcW w:w="33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paid for net share settlement of share-based</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(1,865)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(1,865)</w:t>
            </w:r>
          </w:p>
        </w:tc>
        <w:tc>
          <w:tcPr>
            <w:tcW w:w="0" w:type="dxa"/>
            <w:vAlign w:val="bottom"/>
          </w:tcPr>
          <w:p>
            <w:pPr>
              <w:spacing w:after="0"/>
              <w:rPr>
                <w:sz w:val="1"/>
                <w:szCs w:val="1"/>
                <w:color w:val="auto"/>
              </w:rPr>
            </w:pPr>
          </w:p>
        </w:tc>
      </w:tr>
      <w:tr>
        <w:trPr>
          <w:trHeight w:val="193"/>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awards</w:t>
            </w: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stock under stock award plans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6,620</w:t>
            </w:r>
          </w:p>
        </w:tc>
        <w:tc>
          <w:tcPr>
            <w:tcW w:w="0" w:type="dxa"/>
            <w:vAlign w:val="bottom"/>
          </w:tcPr>
          <w:p>
            <w:pPr>
              <w:spacing w:after="0"/>
              <w:rPr>
                <w:sz w:val="1"/>
                <w:szCs w:val="1"/>
                <w:color w:val="auto"/>
              </w:rPr>
            </w:pPr>
          </w:p>
        </w:tc>
      </w:tr>
      <w:tr>
        <w:trPr>
          <w:trHeight w:val="196"/>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4,222</w:t>
            </w:r>
          </w:p>
        </w:tc>
        <w:tc>
          <w:tcPr>
            <w:tcW w:w="0" w:type="dxa"/>
            <w:vAlign w:val="bottom"/>
          </w:tcPr>
          <w:p>
            <w:pPr>
              <w:spacing w:after="0"/>
              <w:rPr>
                <w:sz w:val="1"/>
                <w:szCs w:val="1"/>
                <w:color w:val="auto"/>
              </w:rPr>
            </w:pPr>
          </w:p>
        </w:tc>
      </w:tr>
      <w:tr>
        <w:trPr>
          <w:trHeight w:val="22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March 31, 2021</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40,442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364,604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(22,212)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459,152</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December 30, 2021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41,413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372,797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474,032</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 issuances</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146"/>
        </w:trPr>
        <w:tc>
          <w:tcPr>
            <w:tcW w:w="33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Taxes paid for net share settlement of share-based</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options and awards</w:t>
            </w: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stock under stock award plans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w:t>
            </w: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March 31, 2022</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41,525</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2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(58,310)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376,579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184,726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(22,906)</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480,504</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September 30, 2021</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40,653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6,391</w:t>
            </w:r>
          </w:p>
        </w:tc>
        <w:tc>
          <w:tcPr>
            <w:tcW w:w="100" w:type="dxa"/>
            <w:vAlign w:val="bottom"/>
          </w:tcPr>
          <w:p>
            <w:pPr>
              <w:spacing w:after="0"/>
              <w:rPr>
                <w:sz w:val="16"/>
                <w:szCs w:val="16"/>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(56,535)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370,699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180,692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(22,746)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472,517</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4,034</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 issuances</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0" w:type="dxa"/>
            <w:vAlign w:val="bottom"/>
          </w:tcPr>
          <w:p>
            <w:pPr>
              <w:spacing w:after="0"/>
              <w:rPr>
                <w:sz w:val="1"/>
                <w:szCs w:val="1"/>
                <w:color w:val="auto"/>
              </w:rPr>
            </w:pPr>
          </w:p>
        </w:tc>
      </w:tr>
      <w:tr>
        <w:trPr>
          <w:trHeight w:val="139"/>
        </w:trPr>
        <w:tc>
          <w:tcPr>
            <w:tcW w:w="33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paid for net share settlement of share-based</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(4,299)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(6,408)</w:t>
            </w:r>
          </w:p>
        </w:tc>
        <w:tc>
          <w:tcPr>
            <w:tcW w:w="0" w:type="dxa"/>
            <w:vAlign w:val="bottom"/>
          </w:tcPr>
          <w:p>
            <w:pPr>
              <w:spacing w:after="0"/>
              <w:rPr>
                <w:sz w:val="1"/>
                <w:szCs w:val="1"/>
                <w:color w:val="auto"/>
              </w:rPr>
            </w:pPr>
          </w:p>
        </w:tc>
      </w:tr>
      <w:tr>
        <w:trPr>
          <w:trHeight w:val="193"/>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awards</w:t>
            </w: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stock under stock award plans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5,591</w:t>
            </w:r>
          </w:p>
        </w:tc>
        <w:tc>
          <w:tcPr>
            <w:tcW w:w="0" w:type="dxa"/>
            <w:vAlign w:val="bottom"/>
          </w:tcPr>
          <w:p>
            <w:pPr>
              <w:spacing w:after="0"/>
              <w:rPr>
                <w:sz w:val="1"/>
                <w:szCs w:val="1"/>
                <w:color w:val="auto"/>
              </w:rPr>
            </w:pPr>
          </w:p>
        </w:tc>
      </w:tr>
      <w:tr>
        <w:trPr>
          <w:trHeight w:val="196"/>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4,259</w:t>
            </w:r>
          </w:p>
        </w:tc>
        <w:tc>
          <w:tcPr>
            <w:tcW w:w="0" w:type="dxa"/>
            <w:vAlign w:val="bottom"/>
          </w:tcPr>
          <w:p>
            <w:pPr>
              <w:spacing w:after="0"/>
              <w:rPr>
                <w:sz w:val="1"/>
                <w:szCs w:val="1"/>
                <w:color w:val="auto"/>
              </w:rPr>
            </w:pPr>
          </w:p>
        </w:tc>
      </w:tr>
      <w:tr>
        <w:trPr>
          <w:trHeight w:val="22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March 31, 2022</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376,579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(22,906)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480,504</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right="360" w:firstLine="8"/>
        <w:spacing w:after="0" w:line="282" w:lineRule="auto"/>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PRESENTATION OF UNAUDITED INTERIM CONDENSED CONSOLIDATED FINANCIAL STATEMENTS AND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Digi International Inc. ("we", "us", "our", "Digi" or "the Company") have been prepared in accordance with the rules and regulations of the United States Securities and Exchange Commission applicable to interim financial statements. While these financial statements reflect all normal recurring adjustments that are, in the opinion of management, necessary for fair presentation of the results of the interim period, they do not include all of the information and footnotes required by U.S. generally accepted accounting principles ("GAAP") for complete financial statements. These financial statements should be read in conjunction with the financial statement disclosures in our Annual Report on Form 10-K for the year ended September 30, 2021 (the "2021 Financial Statements"). We use the same accounting policies in preparing quarterly and annual financial statements. The quarterly results of operations are not necessarily indicative of the results to be expected for the full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Impacts of Macroeconomic Conditions on our Business</w:t>
      </w:r>
    </w:p>
    <w:p>
      <w:pPr>
        <w:spacing w:after="0" w:line="189" w:lineRule="exact"/>
        <w:rPr>
          <w:sz w:val="20"/>
          <w:szCs w:val="20"/>
          <w:color w:val="auto"/>
        </w:rPr>
      </w:pPr>
    </w:p>
    <w:p>
      <w:pPr>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business is effected by present macroeconomic conditions including the ongoing pandemic, supply chain disruptions, the war in Ukraine and inflation. The impact of each of these items is volatile and continues to evolve. The extent of impact stemming from any individual factor or combination of factors on our operational and financial performance will depend in large part on future developments, which cannot be reasonably estimated at this time and could vary in scope and severity both individually and collectively based upon actions taken by governments and other entities to mitigate impacts both within and outside jurisdictions where we operate. For a more detailed discussion see Part I, Item 1 in our Annual Report on </w:t>
      </w:r>
      <w:hyperlink r:id="rId18">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September 30, 2021 and "Management's Discussion and Analysis of Financial Condition and Results of Operations" in </w:t>
      </w:r>
      <w:r>
        <w:rPr>
          <w:rFonts w:ascii="Times New Roman" w:cs="Times New Roman" w:eastAsia="Times New Roman" w:hAnsi="Times New Roman"/>
          <w:sz w:val="18"/>
          <w:szCs w:val="18"/>
          <w:u w:val="single" w:color="auto"/>
          <w:color w:val="0000FF"/>
        </w:rPr>
        <w:t>Item 2</w:t>
      </w:r>
      <w:r>
        <w:rPr>
          <w:rFonts w:ascii="Times New Roman" w:cs="Times New Roman" w:eastAsia="Times New Roman" w:hAnsi="Times New Roman"/>
          <w:sz w:val="18"/>
          <w:szCs w:val="18"/>
          <w:color w:val="auto"/>
        </w:rPr>
        <w:t xml:space="preserve"> of this Form 10-Q.</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October 2021,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with Customers. </w:t>
      </w:r>
      <w:r>
        <w:rPr>
          <w:rFonts w:ascii="Times New Roman" w:cs="Times New Roman" w:eastAsia="Times New Roman" w:hAnsi="Times New Roman"/>
          <w:sz w:val="18"/>
          <w:szCs w:val="18"/>
          <w:color w:val="auto"/>
        </w:rPr>
        <w:t>This update requires entities to apply Topic 606 to recognize and measure contract assets and contract liabilities in a business combination.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adopted this standard in the first quarter of fiscal 2022.</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ACQUISITIONS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Ventus</w:t>
      </w:r>
    </w:p>
    <w:p>
      <w:pPr>
        <w:spacing w:after="0" w:line="20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November 1, 2021, we acquired Ventus Networks, LLC ("Ventus") for approximately $350 million in cash. The acquisition was funded through a combination of cash on hand and debt financing under a $350 million credit facility committed by BMO Harris Bank N.A.</w:t>
      </w:r>
    </w:p>
    <w:p>
      <w:pPr>
        <w:spacing w:after="0" w:line="108"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For tax purposes, this acquisition is treated as an asset acquisition. We believe this is a complementary acquisition for us as it significantly enhances our IoT Solutions segment by enhancing Digi's service portfolio and immediately extends the company's market reach with a Managed Network-as-a-Service ("MNaaS") solutions offering.</w:t>
      </w:r>
    </w:p>
    <w:p>
      <w:pPr>
        <w:spacing w:after="0" w:line="15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Costs directly related to the acquisition of $4.0 million incurred fiscal year to date 2022 have been charged to operations and are included in general and administrative expense in our condensed consolidated statements of operations. These acquisition costs include legal, accounting, valuation and investment banking fees.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preliminary fair values of Ventus assets acquired and liabilities assumed as of the acquisition date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9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net tangible assets acquired</w:t>
            </w:r>
          </w:p>
        </w:tc>
        <w:tc>
          <w:tcPr>
            <w:tcW w:w="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22,110</w:t>
            </w:r>
          </w:p>
        </w:tc>
      </w:tr>
      <w:tr>
        <w:trPr>
          <w:trHeight w:val="229"/>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9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179,000</w:t>
            </w:r>
          </w:p>
        </w:tc>
      </w:tr>
      <w:tr>
        <w:trPr>
          <w:trHeight w:val="230"/>
        </w:trPr>
        <w:tc>
          <w:tcPr>
            <w:tcW w:w="9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Purchased and core technology</w:t>
            </w:r>
          </w:p>
        </w:tc>
        <w:tc>
          <w:tcPr>
            <w:tcW w:w="6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29"/>
        </w:trPr>
        <w:tc>
          <w:tcPr>
            <w:tcW w:w="9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Trademarks</w:t>
            </w: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30"/>
        </w:trPr>
        <w:tc>
          <w:tcPr>
            <w:tcW w:w="9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116,890</w:t>
            </w:r>
          </w:p>
        </w:tc>
      </w:tr>
      <w:tr>
        <w:trPr>
          <w:trHeight w:val="248"/>
        </w:trPr>
        <w:tc>
          <w:tcPr>
            <w:tcW w:w="9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condensed consolidated balance sheet as of March 31, 2022 reflects the preliminary allocation of the purchase price to the assets acquired and liabilities assumed based on their estimated fair values at the date of acquisition. The estimated fair value of the net assets acquired, liabilities assumed and identifiable intangible assets are preliminary and remain subject to change, as preliminary purchase price allocation has not yet been completed. Included in the fair value of net tangible assets acquired was $0.9 million of right-of-use asset included in other non-current assets and $0.9 million of lease liability included in other current liabilities and other non-current liabilities associated with Ventus’s operating leases.</w:t>
      </w:r>
    </w:p>
    <w:p>
      <w:pPr>
        <w:spacing w:after="0" w:line="14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preliminary weighted average useful life for all the identifiable intangibles listed above is estimated to be 19.2 years. For purposes of determining fair value, the existing customer relationships identified above are assumed to have a useful life of 20.5 years, purchased and core technology is assumed to have useful life of 11 years and trademarks are assumed a useful life of 13 years. Useful lives for identifiable intangible assets are estimated at the time of acquisition based on the periods of time from which we expect to derive benefits from the identifiable intangible assets. The identifiable intangible assets are amortized using the straight-line method which reflects the pattern in which the assets are expected to be consumed.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consolidated pro forma information is presented as if the acquisition had occurred on October 1, 2020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3380" w:type="dxa"/>
            <w:vAlign w:val="bottom"/>
            <w:gridSpan w:val="6"/>
          </w:tcPr>
          <w:p>
            <w:pPr>
              <w:ind w:left="52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280" w:type="dxa"/>
            <w:vAlign w:val="bottom"/>
          </w:tcPr>
          <w:p>
            <w:pPr>
              <w:spacing w:after="0"/>
              <w:rPr>
                <w:sz w:val="20"/>
                <w:szCs w:val="20"/>
                <w:color w:val="auto"/>
              </w:rPr>
            </w:pPr>
          </w:p>
        </w:tc>
        <w:tc>
          <w:tcPr>
            <w:tcW w:w="270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Six months ended March 31,</w:t>
            </w:r>
          </w:p>
        </w:tc>
      </w:tr>
      <w:tr>
        <w:trPr>
          <w:trHeight w:val="223"/>
        </w:trPr>
        <w:tc>
          <w:tcPr>
            <w:tcW w:w="488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94,713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175,351</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8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income (loss)</w:t>
            </w: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2,578</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2,058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(5,725)</w:t>
            </w:r>
          </w:p>
        </w:tc>
      </w:tr>
      <w:tr>
        <w:trPr>
          <w:trHeight w:val="20"/>
        </w:trPr>
        <w:tc>
          <w:tcPr>
            <w:tcW w:w="48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Pro forma net income has been adjusted to include interest expense related to debt incurred as a result of the acquisition, amortization on the fair value of the intangibles acquired and remove any costs incurred with the sale transaction. Net income for the six months ended March 31, 2021 was adjusted to include acquisition-related costs of $3.1 million.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EARNINGS PER SHARE</w:t>
      </w:r>
    </w:p>
    <w:p>
      <w:pPr>
        <w:spacing w:after="0" w:line="18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the numerators and denominators in the net income per common share calculations (in thousands, except per common share data):</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34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280" w:type="dxa"/>
            <w:vAlign w:val="bottom"/>
          </w:tcPr>
          <w:p>
            <w:pPr>
              <w:spacing w:after="0"/>
              <w:rPr>
                <w:sz w:val="20"/>
                <w:szCs w:val="20"/>
                <w:color w:val="auto"/>
              </w:rPr>
            </w:pPr>
          </w:p>
        </w:tc>
        <w:tc>
          <w:tcPr>
            <w:tcW w:w="270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Six months ended March 31,</w:t>
            </w:r>
          </w:p>
        </w:tc>
      </w:tr>
      <w:tr>
        <w:trPr>
          <w:trHeight w:val="223"/>
        </w:trPr>
        <w:tc>
          <w:tcPr>
            <w:tcW w:w="492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w:t>
            </w:r>
          </w:p>
        </w:tc>
      </w:tr>
      <w:tr>
        <w:trPr>
          <w:trHeight w:val="46"/>
        </w:trPr>
        <w:tc>
          <w:tcPr>
            <w:tcW w:w="492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29"/>
        </w:trPr>
        <w:tc>
          <w:tcPr>
            <w:tcW w:w="49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98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r>
      <w:tr>
        <w:trPr>
          <w:trHeight w:val="176"/>
        </w:trPr>
        <w:tc>
          <w:tcPr>
            <w:tcW w:w="49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Denominator for basic net income per common share —</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9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30,129</w:t>
            </w:r>
          </w:p>
        </w:tc>
      </w:tr>
      <w:tr>
        <w:trPr>
          <w:trHeight w:val="230"/>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options and restricted stock units</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r>
      <w:tr>
        <w:trPr>
          <w:trHeight w:val="156"/>
        </w:trPr>
        <w:tc>
          <w:tcPr>
            <w:tcW w:w="492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Denominator for diluted net income per common share —</w:t>
            </w: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77"/>
        </w:trPr>
        <w:tc>
          <w:tcPr>
            <w:tcW w:w="4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adjusted weighted average shares</w:t>
            </w:r>
          </w:p>
        </w:tc>
        <w:tc>
          <w:tcPr>
            <w:tcW w:w="98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35,608</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32,223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35,710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31,436</w:t>
            </w:r>
          </w:p>
        </w:tc>
      </w:tr>
      <w:tr>
        <w:trPr>
          <w:trHeight w:val="203"/>
        </w:trPr>
        <w:tc>
          <w:tcPr>
            <w:tcW w:w="49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Net income per common share, basic</w:t>
            </w:r>
          </w:p>
        </w:tc>
        <w:tc>
          <w:tcPr>
            <w:tcW w:w="980" w:type="dxa"/>
            <w:vAlign w:val="bottom"/>
            <w:tcBorders>
              <w:bottom w:val="single" w:sz="8" w:color="auto"/>
            </w:tcBorders>
          </w:tcPr>
          <w:p>
            <w:pPr>
              <w:jc w:val="right"/>
              <w:ind w:right="7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0.09</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 diluted</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 excludes certain stock options and restricted stock unit awards that would have an anti-dilutive effect on our diluted net income per share calculation.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2022 and 2021, 1,129,393 and 994,096 shares outstanding were excluded, respectively. For the six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 and 2021, 735,611 and 864,744 were excluded,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4. SELECTED BALANCE SHEET DATA</w:t>
            </w:r>
          </w:p>
        </w:tc>
        <w:tc>
          <w:tcPr>
            <w:tcW w:w="2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selected balance sheet data (in thousands):</w:t>
            </w:r>
          </w:p>
        </w:tc>
        <w:tc>
          <w:tcPr>
            <w:tcW w:w="2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53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March 31,</w:t>
            </w:r>
          </w:p>
        </w:tc>
        <w:tc>
          <w:tcPr>
            <w:tcW w:w="20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34"/>
        </w:trPr>
        <w:tc>
          <w:tcPr>
            <w:tcW w:w="5300" w:type="dxa"/>
            <w:vAlign w:val="bottom"/>
            <w:tcBorders>
              <w:bottom w:val="single" w:sz="8" w:color="CCEEFF"/>
            </w:tcBorders>
          </w:tcPr>
          <w:p>
            <w:pPr>
              <w:spacing w:after="0"/>
              <w:rPr>
                <w:sz w:val="20"/>
                <w:szCs w:val="20"/>
                <w:color w:val="auto"/>
              </w:rPr>
            </w:pPr>
          </w:p>
        </w:tc>
        <w:tc>
          <w:tcPr>
            <w:tcW w:w="25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7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65,222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reserve for future credit returns and pricing adjustments</w:t>
            </w:r>
          </w:p>
        </w:tc>
        <w:tc>
          <w:tcPr>
            <w:tcW w:w="25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00" w:type="dxa"/>
            <w:vAlign w:val="bottom"/>
            <w:vMerge w:val="continue"/>
          </w:tcPr>
          <w:p>
            <w:pPr>
              <w:spacing w:after="0"/>
              <w:rPr>
                <w:sz w:val="15"/>
                <w:szCs w:val="15"/>
                <w:color w:val="auto"/>
              </w:rPr>
            </w:pPr>
          </w:p>
        </w:tc>
        <w:tc>
          <w:tcPr>
            <w:tcW w:w="2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Raw materials</w:t>
            </w:r>
          </w:p>
        </w:tc>
        <w:tc>
          <w:tcPr>
            <w:tcW w:w="27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Finished goods</w:t>
            </w:r>
          </w:p>
        </w:tc>
        <w:tc>
          <w:tcPr>
            <w:tcW w:w="25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bottom w:val="single" w:sz="8" w:color="CCEEFF"/>
            </w:tcBorders>
            <w:vMerge w:val="restart"/>
          </w:tcPr>
          <w:p>
            <w:pPr>
              <w:jc w:val="right"/>
              <w:ind w:right="205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30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0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FAIR VALUE MEASUREMENTS</w:t>
      </w:r>
    </w:p>
    <w:p>
      <w:pPr>
        <w:spacing w:after="0" w:line="19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Financial assets and liabilities are classified in the following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information by level for financial liabilities that are measured at fair value on a recurring basis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Total Fair</w:t>
            </w:r>
          </w:p>
        </w:tc>
        <w:tc>
          <w:tcPr>
            <w:tcW w:w="240" w:type="dxa"/>
            <w:vAlign w:val="bottom"/>
          </w:tcPr>
          <w:p>
            <w:pPr>
              <w:spacing w:after="0"/>
              <w:rPr>
                <w:sz w:val="17"/>
                <w:szCs w:val="17"/>
                <w:color w:val="auto"/>
              </w:rPr>
            </w:pPr>
          </w:p>
        </w:tc>
        <w:tc>
          <w:tcPr>
            <w:tcW w:w="2960" w:type="dxa"/>
            <w:vAlign w:val="bottom"/>
            <w:gridSpan w:val="6"/>
          </w:tcPr>
          <w:p>
            <w:pPr>
              <w:ind w:left="760"/>
              <w:spacing w:after="0"/>
              <w:rPr>
                <w:sz w:val="20"/>
                <w:szCs w:val="20"/>
                <w:color w:val="auto"/>
              </w:rPr>
            </w:pPr>
            <w:r>
              <w:rPr>
                <w:rFonts w:ascii="Times New Roman" w:cs="Times New Roman" w:eastAsia="Times New Roman" w:hAnsi="Times New Roman"/>
                <w:sz w:val="17"/>
                <w:szCs w:val="17"/>
                <w:color w:val="auto"/>
                <w:w w:val="98"/>
              </w:rPr>
              <w:t>Fair Value Measurements Using</w:t>
            </w:r>
          </w:p>
        </w:tc>
        <w:tc>
          <w:tcPr>
            <w:tcW w:w="1000" w:type="dxa"/>
            <w:vAlign w:val="bottom"/>
          </w:tcPr>
          <w:p>
            <w:pPr>
              <w:spacing w:after="0"/>
              <w:rPr>
                <w:sz w:val="17"/>
                <w:szCs w:val="17"/>
                <w:color w:val="auto"/>
              </w:rPr>
            </w:pPr>
          </w:p>
        </w:tc>
      </w:tr>
      <w:tr>
        <w:trPr>
          <w:trHeight w:val="223"/>
        </w:trPr>
        <w:tc>
          <w:tcPr>
            <w:tcW w:w="4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7"/>
              </w:rPr>
              <w:t>Value at</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7"/>
                <w:szCs w:val="17"/>
                <w:color w:val="auto"/>
              </w:rPr>
              <w:t>Inputs Considered as</w:t>
            </w:r>
          </w:p>
        </w:tc>
        <w:tc>
          <w:tcPr>
            <w:tcW w:w="1000" w:type="dxa"/>
            <w:vAlign w:val="bottom"/>
            <w:tcBorders>
              <w:bottom w:val="single" w:sz="8" w:color="auto"/>
            </w:tcBorders>
          </w:tcPr>
          <w:p>
            <w:pPr>
              <w:spacing w:after="0"/>
              <w:rPr>
                <w:sz w:val="19"/>
                <w:szCs w:val="19"/>
                <w:color w:val="auto"/>
              </w:rPr>
            </w:pPr>
          </w:p>
        </w:tc>
      </w:tr>
      <w:tr>
        <w:trPr>
          <w:trHeight w:val="226"/>
        </w:trPr>
        <w:tc>
          <w:tcPr>
            <w:tcW w:w="4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March 31, 2022</w:t>
            </w:r>
          </w:p>
        </w:tc>
        <w:tc>
          <w:tcPr>
            <w:tcW w:w="24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Level 1</w:t>
            </w:r>
          </w:p>
        </w:tc>
        <w:tc>
          <w:tcPr>
            <w:tcW w:w="24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Level 2</w:t>
            </w:r>
          </w:p>
        </w:tc>
        <w:tc>
          <w:tcPr>
            <w:tcW w:w="440" w:type="dxa"/>
            <w:vAlign w:val="bottom"/>
          </w:tcPr>
          <w:p>
            <w:pPr>
              <w:spacing w:after="0"/>
              <w:rPr>
                <w:sz w:val="19"/>
                <w:szCs w:val="19"/>
                <w:color w:val="auto"/>
              </w:rPr>
            </w:pPr>
          </w:p>
        </w:tc>
        <w:tc>
          <w:tcPr>
            <w:tcW w:w="100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Level 3</w:t>
            </w:r>
          </w:p>
        </w:tc>
      </w:tr>
      <w:tr>
        <w:trPr>
          <w:trHeight w:val="213"/>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0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26"/>
        </w:trPr>
        <w:tc>
          <w:tcPr>
            <w:tcW w:w="49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Contingent consideration on acquired business</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6,200</w:t>
            </w:r>
          </w:p>
        </w:tc>
        <w:tc>
          <w:tcPr>
            <w:tcW w:w="100" w:type="dxa"/>
            <w:vAlign w:val="bottom"/>
          </w:tcPr>
          <w:p>
            <w:pPr>
              <w:spacing w:after="0"/>
              <w:rPr>
                <w:sz w:val="19"/>
                <w:szCs w:val="19"/>
                <w:color w:val="auto"/>
              </w:rPr>
            </w:pP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6,200</w:t>
            </w:r>
          </w:p>
        </w:tc>
      </w:tr>
      <w:tr>
        <w:trPr>
          <w:trHeight w:val="252"/>
        </w:trPr>
        <w:tc>
          <w:tcPr>
            <w:tcW w:w="49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liabilities measured at fair value</w:t>
            </w: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6,200</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49"/>
        </w:trPr>
        <w:tc>
          <w:tcPr>
            <w:tcW w:w="4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Total Fair</w:t>
            </w:r>
          </w:p>
        </w:tc>
        <w:tc>
          <w:tcPr>
            <w:tcW w:w="240" w:type="dxa"/>
            <w:vAlign w:val="bottom"/>
          </w:tcPr>
          <w:p>
            <w:pPr>
              <w:spacing w:after="0"/>
              <w:rPr>
                <w:sz w:val="21"/>
                <w:szCs w:val="21"/>
                <w:color w:val="auto"/>
              </w:rPr>
            </w:pPr>
          </w:p>
        </w:tc>
        <w:tc>
          <w:tcPr>
            <w:tcW w:w="2960" w:type="dxa"/>
            <w:vAlign w:val="bottom"/>
            <w:gridSpan w:val="6"/>
          </w:tcPr>
          <w:p>
            <w:pPr>
              <w:ind w:left="760"/>
              <w:spacing w:after="0"/>
              <w:rPr>
                <w:sz w:val="20"/>
                <w:szCs w:val="20"/>
                <w:color w:val="auto"/>
              </w:rPr>
            </w:pPr>
            <w:r>
              <w:rPr>
                <w:rFonts w:ascii="Times New Roman" w:cs="Times New Roman" w:eastAsia="Times New Roman" w:hAnsi="Times New Roman"/>
                <w:sz w:val="17"/>
                <w:szCs w:val="17"/>
                <w:color w:val="auto"/>
                <w:w w:val="98"/>
              </w:rPr>
              <w:t>Fair Value Measurements Using</w:t>
            </w:r>
          </w:p>
        </w:tc>
        <w:tc>
          <w:tcPr>
            <w:tcW w:w="1000" w:type="dxa"/>
            <w:vAlign w:val="bottom"/>
          </w:tcPr>
          <w:p>
            <w:pPr>
              <w:spacing w:after="0"/>
              <w:rPr>
                <w:sz w:val="21"/>
                <w:szCs w:val="21"/>
                <w:color w:val="auto"/>
              </w:rPr>
            </w:pPr>
          </w:p>
        </w:tc>
      </w:tr>
      <w:tr>
        <w:trPr>
          <w:trHeight w:val="222"/>
        </w:trPr>
        <w:tc>
          <w:tcPr>
            <w:tcW w:w="4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7"/>
              </w:rPr>
              <w:t>Value at</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7"/>
                <w:szCs w:val="17"/>
                <w:color w:val="auto"/>
              </w:rPr>
              <w:t>Inputs Considered as</w:t>
            </w:r>
          </w:p>
        </w:tc>
        <w:tc>
          <w:tcPr>
            <w:tcW w:w="1000" w:type="dxa"/>
            <w:vAlign w:val="bottom"/>
            <w:tcBorders>
              <w:bottom w:val="single" w:sz="8" w:color="auto"/>
            </w:tcBorders>
          </w:tcPr>
          <w:p>
            <w:pPr>
              <w:spacing w:after="0"/>
              <w:rPr>
                <w:sz w:val="19"/>
                <w:szCs w:val="19"/>
                <w:color w:val="auto"/>
              </w:rPr>
            </w:pPr>
          </w:p>
        </w:tc>
      </w:tr>
      <w:tr>
        <w:trPr>
          <w:trHeight w:val="221"/>
        </w:trPr>
        <w:tc>
          <w:tcPr>
            <w:tcW w:w="4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September 30, 2021</w:t>
            </w:r>
          </w:p>
        </w:tc>
        <w:tc>
          <w:tcPr>
            <w:tcW w:w="24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Level 1</w:t>
            </w:r>
          </w:p>
        </w:tc>
        <w:tc>
          <w:tcPr>
            <w:tcW w:w="24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Level 2</w:t>
            </w:r>
          </w:p>
        </w:tc>
        <w:tc>
          <w:tcPr>
            <w:tcW w:w="440" w:type="dxa"/>
            <w:vAlign w:val="bottom"/>
          </w:tcPr>
          <w:p>
            <w:pPr>
              <w:spacing w:after="0"/>
              <w:rPr>
                <w:sz w:val="19"/>
                <w:szCs w:val="19"/>
                <w:color w:val="auto"/>
              </w:rPr>
            </w:pPr>
          </w:p>
        </w:tc>
        <w:tc>
          <w:tcPr>
            <w:tcW w:w="100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Level 3</w:t>
            </w:r>
          </w:p>
        </w:tc>
      </w:tr>
      <w:tr>
        <w:trPr>
          <w:trHeight w:val="213"/>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0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26"/>
        </w:trPr>
        <w:tc>
          <w:tcPr>
            <w:tcW w:w="4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Contingent consideration on acquired business</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6,200</w:t>
            </w:r>
          </w:p>
        </w:tc>
        <w:tc>
          <w:tcPr>
            <w:tcW w:w="100" w:type="dxa"/>
            <w:vAlign w:val="bottom"/>
          </w:tcPr>
          <w:p>
            <w:pPr>
              <w:spacing w:after="0"/>
              <w:rPr>
                <w:sz w:val="19"/>
                <w:szCs w:val="19"/>
                <w:color w:val="auto"/>
              </w:rPr>
            </w:pP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6,200</w:t>
            </w:r>
          </w:p>
        </w:tc>
      </w:tr>
      <w:tr>
        <w:trPr>
          <w:trHeight w:val="252"/>
        </w:trPr>
        <w:tc>
          <w:tcPr>
            <w:tcW w:w="49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liabilities measured at fair value</w:t>
            </w: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6,200</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In connection with our acquisition of Opengear, we agreed to make contingent payments, based upon certain revenue thresholds. We paid the final installment of $10.0 million during the second quarter of fiscal 2021.</w:t>
      </w:r>
    </w:p>
    <w:p>
      <w:pPr>
        <w:spacing w:after="0" w:line="13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our acquisition of Haxiot, we agreed to make contingent earn-out payments, based upon certain revenue thresholds. In the fiscal third quarter of fiscal 2021, the preliminary purchase price allocation was updated, including related determination of fair value and income tax implications. As a result, we reduced contingent consideration by $2.1 million in the third fiscal quarter of 2021. The fair value of the remaining liability for contingent consideration for the acquisition of Haxiot was $5.9 million at March 31, 2022.</w:t>
      </w:r>
    </w:p>
    <w:p>
      <w:pPr>
        <w:spacing w:after="0" w:line="13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connection with our acquisition of Ctek, we agreed to make contingent earn-out payments, based upon certain revenue thresholds. The fair value of the remaining liability for contingent consideration for the acquisition of Ctek was $0.3 million at March 31, 2022.</w:t>
      </w:r>
    </w:p>
    <w:p>
      <w:pPr>
        <w:spacing w:after="0" w:line="121"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contingent consideration liability measured at fair value on a recurring basis using significant unobservable inputs (Level 3)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306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280" w:type="dxa"/>
            <w:vAlign w:val="bottom"/>
          </w:tcPr>
          <w:p>
            <w:pPr>
              <w:spacing w:after="0"/>
              <w:rPr>
                <w:sz w:val="20"/>
                <w:szCs w:val="20"/>
                <w:color w:val="auto"/>
              </w:rPr>
            </w:pPr>
          </w:p>
        </w:tc>
        <w:tc>
          <w:tcPr>
            <w:tcW w:w="270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Six months ended March 31,</w:t>
            </w:r>
          </w:p>
        </w:tc>
      </w:tr>
      <w:tr>
        <w:trPr>
          <w:trHeight w:val="223"/>
        </w:trPr>
        <w:tc>
          <w:tcPr>
            <w:tcW w:w="518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6,200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recognized for acquired business</w:t>
            </w:r>
          </w:p>
        </w:tc>
        <w:tc>
          <w:tcPr>
            <w:tcW w:w="9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payments</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9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w:t>
            </w:r>
          </w:p>
        </w:tc>
      </w:tr>
      <w:tr>
        <w:trPr>
          <w:trHeight w:val="248"/>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change in fair value of contingent consideration reflects our estimates of the probabilities of achieving the relevant targets and is discounted based on our estimated discount rate. The fair value of the contingent consideration at March 31, 2022 is based on the probability of achieving the specified revenue thresholds for Haxiot and Ctek.</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6740" w:firstLine="8"/>
        <w:spacing w:after="0" w:line="430" w:lineRule="auto"/>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OTHER INTANGIBLE ASSETS, NET Amortizable intangible assets were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March 31, 2022</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6"/>
          </w:tcPr>
          <w:p>
            <w:pPr>
              <w:jc w:val="center"/>
              <w:ind w:right="110"/>
              <w:spacing w:after="0"/>
              <w:rPr>
                <w:sz w:val="20"/>
                <w:szCs w:val="20"/>
                <w:color w:val="auto"/>
              </w:rPr>
            </w:pPr>
            <w:r>
              <w:rPr>
                <w:rFonts w:ascii="Times New Roman" w:cs="Times New Roman" w:eastAsia="Times New Roman" w:hAnsi="Times New Roman"/>
                <w:sz w:val="18"/>
                <w:szCs w:val="18"/>
                <w:color w:val="auto"/>
              </w:rPr>
              <w:t>September 30, 2021</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center"/>
              <w:ind w:right="90"/>
              <w:spacing w:after="0" w:line="177" w:lineRule="exact"/>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9"/>
              </w:rPr>
              <w:t>Accum.</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30"/>
              <w:spacing w:after="0" w:line="177" w:lineRule="exact"/>
              <w:rPr>
                <w:sz w:val="20"/>
                <w:szCs w:val="20"/>
                <w:color w:val="auto"/>
              </w:rPr>
            </w:pPr>
            <w:r>
              <w:rPr>
                <w:rFonts w:ascii="Times New Roman" w:cs="Times New Roman" w:eastAsia="Times New Roman" w:hAnsi="Times New Roman"/>
                <w:sz w:val="18"/>
                <w:szCs w:val="18"/>
                <w:color w:val="auto"/>
                <w:w w:val="99"/>
              </w:rPr>
              <w:t>Gross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rPr>
              <w:t>Accum.</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w w:val="99"/>
              </w:rPr>
              <w:t>carrying</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Net</w:t>
            </w:r>
          </w:p>
        </w:tc>
        <w:tc>
          <w:tcPr>
            <w:tcW w:w="180" w:type="dxa"/>
            <w:vAlign w:val="bottom"/>
          </w:tcPr>
          <w:p>
            <w:pPr>
              <w:spacing w:after="0"/>
              <w:rPr>
                <w:sz w:val="15"/>
                <w:szCs w:val="15"/>
                <w:color w:val="auto"/>
              </w:rPr>
            </w:pPr>
          </w:p>
        </w:tc>
        <w:tc>
          <w:tcPr>
            <w:tcW w:w="860" w:type="dxa"/>
            <w:vAlign w:val="bottom"/>
          </w:tcPr>
          <w:p>
            <w:pPr>
              <w:jc w:val="center"/>
              <w:ind w:right="10"/>
              <w:spacing w:after="0" w:line="181" w:lineRule="exact"/>
              <w:rPr>
                <w:sz w:val="20"/>
                <w:szCs w:val="20"/>
                <w:color w:val="auto"/>
              </w:rPr>
            </w:pPr>
            <w:r>
              <w:rPr>
                <w:rFonts w:ascii="Times New Roman" w:cs="Times New Roman" w:eastAsia="Times New Roman" w:hAnsi="Times New Roman"/>
                <w:sz w:val="18"/>
                <w:szCs w:val="18"/>
                <w:color w:val="auto"/>
                <w:w w:val="99"/>
              </w:rPr>
              <w:t>carrying</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Net</w:t>
            </w:r>
          </w:p>
        </w:tc>
        <w:tc>
          <w:tcPr>
            <w:tcW w:w="0" w:type="dxa"/>
            <w:vAlign w:val="bottom"/>
          </w:tcPr>
          <w:p>
            <w:pPr>
              <w:spacing w:after="0"/>
              <w:rPr>
                <w:sz w:val="1"/>
                <w:szCs w:val="1"/>
                <w:color w:val="auto"/>
              </w:rPr>
            </w:pPr>
          </w:p>
        </w:tc>
      </w:tr>
      <w:tr>
        <w:trPr>
          <w:trHeight w:val="229"/>
        </w:trPr>
        <w:tc>
          <w:tcPr>
            <w:tcW w:w="4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amount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amort.</w:t>
            </w:r>
          </w:p>
        </w:tc>
        <w:tc>
          <w:tcPr>
            <w:tcW w:w="2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amount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amort.</w:t>
            </w:r>
          </w:p>
        </w:tc>
        <w:tc>
          <w:tcPr>
            <w:tcW w:w="2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and core technology</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85,194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69,162</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18,461</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agreements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trademarks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8,513</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130,278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90,305</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Order backlog</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224,643</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118,029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Amortization expense was $7.0 million and $3.9 million for the three months ended March 31, 2022 and 2021, respectively and $13.4 million and $7.9 million for the six months ended March 31, 2022 and 2021, respectively. Amortization expense is recorded on our condensed consolidated statements of operations within cost of sales and in general and administrative expense.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amortization expense related to intangible assets for the remainder of fiscal 2022 and the five succeeding fiscal years is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(six months)</w:t>
            </w:r>
          </w:p>
        </w:tc>
        <w:tc>
          <w:tcPr>
            <w:tcW w:w="47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13,716</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7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24,996</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7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24,282</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7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20,825</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7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20,593</w:t>
            </w:r>
          </w:p>
        </w:tc>
      </w:tr>
      <w:tr>
        <w:trPr>
          <w:trHeight w:val="234"/>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7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18,582</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segments are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8"/>
                <w:szCs w:val="18"/>
                <w:color w:val="auto"/>
              </w:rPr>
              <w:t>Six months ended March 31, 2022</w:t>
            </w:r>
          </w:p>
        </w:tc>
        <w:tc>
          <w:tcPr>
            <w:tcW w:w="1280" w:type="dxa"/>
            <w:vAlign w:val="bottom"/>
            <w:tcBorders>
              <w:bottom w:val="single" w:sz="8" w:color="auto"/>
            </w:tcBorders>
          </w:tcPr>
          <w:p>
            <w:pPr>
              <w:spacing w:after="0"/>
              <w:rPr>
                <w:sz w:val="20"/>
                <w:szCs w:val="20"/>
                <w:color w:val="auto"/>
              </w:rPr>
            </w:pPr>
          </w:p>
        </w:tc>
      </w:tr>
      <w:tr>
        <w:trPr>
          <w:trHeight w:val="178"/>
        </w:trPr>
        <w:tc>
          <w:tcPr>
            <w:tcW w:w="5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2"/>
          </w:tcPr>
          <w:p>
            <w:pPr>
              <w:jc w:val="center"/>
              <w:ind w:right="320"/>
              <w:spacing w:after="0" w:line="177" w:lineRule="exact"/>
              <w:rPr>
                <w:sz w:val="20"/>
                <w:szCs w:val="20"/>
                <w:color w:val="auto"/>
              </w:rPr>
            </w:pPr>
            <w:r>
              <w:rPr>
                <w:rFonts w:ascii="Times New Roman" w:cs="Times New Roman" w:eastAsia="Times New Roman" w:hAnsi="Times New Roman"/>
                <w:sz w:val="18"/>
                <w:szCs w:val="18"/>
                <w:color w:val="auto"/>
                <w:w w:val="99"/>
              </w:rPr>
              <w:t>IoT</w:t>
            </w:r>
          </w:p>
        </w:tc>
        <w:tc>
          <w:tcPr>
            <w:tcW w:w="300" w:type="dxa"/>
            <w:vAlign w:val="bottom"/>
          </w:tcPr>
          <w:p>
            <w:pPr>
              <w:spacing w:after="0"/>
              <w:rPr>
                <w:sz w:val="15"/>
                <w:szCs w:val="15"/>
                <w:color w:val="auto"/>
              </w:rPr>
            </w:pPr>
          </w:p>
        </w:tc>
        <w:tc>
          <w:tcPr>
            <w:tcW w:w="1460" w:type="dxa"/>
            <w:vAlign w:val="bottom"/>
            <w:gridSpan w:val="2"/>
          </w:tcPr>
          <w:p>
            <w:pPr>
              <w:jc w:val="center"/>
              <w:ind w:right="400"/>
              <w:spacing w:after="0" w:line="177" w:lineRule="exact"/>
              <w:rPr>
                <w:sz w:val="20"/>
                <w:szCs w:val="20"/>
                <w:color w:val="auto"/>
              </w:rPr>
            </w:pPr>
            <w:r>
              <w:rPr>
                <w:rFonts w:ascii="Times New Roman" w:cs="Times New Roman" w:eastAsia="Times New Roman" w:hAnsi="Times New Roman"/>
                <w:sz w:val="18"/>
                <w:szCs w:val="18"/>
                <w:color w:val="auto"/>
                <w:w w:val="99"/>
              </w:rPr>
              <w:t>IoT</w:t>
            </w: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4"/>
        </w:trPr>
        <w:tc>
          <w:tcPr>
            <w:tcW w:w="5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Products and Services</w:t>
            </w:r>
          </w:p>
        </w:tc>
        <w:tc>
          <w:tcPr>
            <w:tcW w:w="300" w:type="dxa"/>
            <w:vAlign w:val="bottom"/>
          </w:tcPr>
          <w:p>
            <w:pPr>
              <w:spacing w:after="0"/>
              <w:rPr>
                <w:sz w:val="20"/>
                <w:szCs w:val="20"/>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Solutions</w:t>
            </w: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September 30, 2021</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175,180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225,522</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220" w:type="dxa"/>
            <w:vAlign w:val="bottom"/>
          </w:tcPr>
          <w:p>
            <w:pPr>
              <w:spacing w:after="0"/>
              <w:rPr>
                <w:sz w:val="19"/>
                <w:szCs w:val="19"/>
                <w:color w:val="auto"/>
              </w:rPr>
            </w:pPr>
          </w:p>
        </w:tc>
        <w:tc>
          <w:tcPr>
            <w:tcW w:w="2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116,890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116,890</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2021</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341,645</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Goodwill represents the excess of cost over the fair value of net identifiable assets acquired. Goodwill is quantitatively tested for impairment on an annual basis as of June 30, or more frequently if events or circumstances occur which could indicate impairment. We continue to have two reportable segments, our IoT Products &amp; Services segment and our IoT Solutions segment (see </w:t>
      </w:r>
      <w:r>
        <w:rPr>
          <w:rFonts w:ascii="Times New Roman" w:cs="Times New Roman" w:eastAsia="Times New Roman" w:hAnsi="Times New Roman"/>
          <w:sz w:val="18"/>
          <w:szCs w:val="18"/>
          <w:u w:val="single" w:color="auto"/>
          <w:color w:val="0000FF"/>
        </w:rPr>
        <w:t>Note 8</w:t>
      </w:r>
      <w:r>
        <w:rPr>
          <w:rFonts w:ascii="Times New Roman" w:cs="Times New Roman" w:eastAsia="Times New Roman" w:hAnsi="Times New Roman"/>
          <w:sz w:val="18"/>
          <w:szCs w:val="18"/>
          <w:color w:val="auto"/>
        </w:rPr>
        <w:t>). Effective with the reorganization announcement on October 7, 2020, our IoT Products &amp; Services business is now structured to include four reporting units under the IoT Products &amp; Services segment, each with a reporting manager: Cellular Routers, Console Servers, OEM Solutions and Infrastructure Management. We had four reporting units along with our IoT Solutions segment that were tested individually for impairment during our third quarter fiscal 2021 annual impairment test. Following our acquisition of Ventus in November, 2021, we have two reporting units within our IoT Solutions segment that will be tested for impairment during our Fiscal 2022 annual impairment test in addition to the four reporting units included in IoT Products &amp;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GOODWILL AND OTHER INTANGIBLE ASSETS, NET (CONTINUED)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our Fiscal 2021 Annual Impairment Test</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of June 30, 2021, we had a total of $32.7 million of goodwill for the Enterprise Routers reporting unit, $60.2 million of goodwill for the Console Servers reporting unit, $63.4 million of goodwill for the OEM Solutions reporting unit, $15.4 million of goodwill for the Infrastructure Mgmt. reporting unit and $49.5 million of goodwill for the IoT Solutions reporting unit. At June 30, 2021, fair value exceeded the carrying value by more than 20% for all five reporting units. Implied fair values for each reporting unit was calculated on a standalone basis using a weighted combination of the income approach and market approach. The implied fair values of each reporting unit were added together along with our unallocated assets to get an indicated value of total equity to which a range of indicated value of total equity was derived. This range was compared to the total market capitalization of $686.3 million as of June 30, 2021. This implied a range of control (deficit)/ premiums of (4.5)% to 5.4%. This range of control premiums fell below the control premiums observed in the last five years in the communications equipment industry. As a result, the market capitalization reconciliation analysis proved support for the reasonableness of the fair values estimated for each individual reporting unit.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INDEBTEDNESS</w:t>
      </w:r>
    </w:p>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November 1, 2021, we entered into a second amended and restated credit agreement with BMO Harris Bank N.A. ("BMO"). This agreement provides us with a senior secured credit facility (the "Credit Facility") consisting of a $350 million term loan B secured loan (the “Term Loan Facility”) and a $35 million revolving credit facility (the “Revolving Loan Facility”) with an uncommitted option to increase incremental loans under the Credit Facility, subject to an incremental cap. The Revolving Loan Facility includes a $10 million letter of credit subfacility and $10 million swingline subfacility. Digi may use proceeds of the Revolving Loan Facility in the future for general corporate purposes. This loan replaced our syndicated senior secured credit agreement with BMO that was entered into on March 15, 2021 and replaced the remaining balance of our revolver with this new term loan. This prior agreement provided us with committed credit facilities ("Prior Credit Facility") consisting of a $200 million revolving loan.</w:t>
      </w:r>
    </w:p>
    <w:p>
      <w:pPr>
        <w:spacing w:after="0" w:line="14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December 22, 2021, Digi entered into a third amended and restated credit agreement with BMO. Digi refinanced the Term Loan Facility and Revolving Loan Facility under its existing credit agreement entered into on November 1, 2021, but did not receive any additional proceeds from nor modify the amounts of any facilities or subfacilities contained within that credit agreement.</w:t>
      </w:r>
    </w:p>
    <w:p>
      <w:pPr>
        <w:spacing w:after="0" w:line="13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Following the December amendment, borrowings under the Term Loan Facility bear interest at a rate per annum equal to LIBOR with a floor of 0.50% for an interest period of one, three or six months as selected by Digi, reset at the end of the selected interest period (or a replacement benchmark rate if LIBOR is no longer available) plus 5.00% or a base rate plus 4.00%. The base rate is determined by reference to the highest of BMO’s prime rate, the Federal Funds Effective Rate plus 0.50%, or the one-month LIBOR for U.S. dollars plus 1.00%. The applicable margin for loans under the Revolving Credit Facility is in a range of 4.00% to 3.75% for LIBOR loans and 3.00% to 2.75% for base rate loans, depending on Digi’s consolidated leverage ratio. In addition to paying interest on the outstanding balance under the Credit Facility, we are required to pay a commitment fee on the non-utilized commitments thereunder which is also reported in interest expense. Our weighted average interest rate at March 31, 2022 was 4.93%.</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debt issuance costs and remaining balance under the Prior Credit Facility totaled $2.3 million at November 1, 2021. Of this amount $1.9 million was written off and included in interest expense upon the entry into the new amendment and $0.4 million is being amortized over the term of the amended loan and reported in interest expense. Digi incurred an additional $11.7 million and $1.7 million in debt issuance costs relating to the November 1 and December 22 amendments, respectively. These amounts will be amortized over the term of the amended loan and reported in interest expense.</w:t>
      </w:r>
    </w:p>
    <w:p>
      <w:pPr>
        <w:spacing w:after="0" w:line="139" w:lineRule="exact"/>
        <w:rPr>
          <w:sz w:val="20"/>
          <w:szCs w:val="20"/>
          <w:color w:val="auto"/>
        </w:rPr>
      </w:pPr>
    </w:p>
    <w:p>
      <w:pPr>
        <w:ind w:right="460"/>
        <w:spacing w:after="0" w:line="312" w:lineRule="auto"/>
        <w:rPr>
          <w:sz w:val="20"/>
          <w:szCs w:val="20"/>
          <w:color w:val="auto"/>
        </w:rPr>
      </w:pPr>
      <w:r>
        <w:rPr>
          <w:rFonts w:ascii="Times New Roman" w:cs="Times New Roman" w:eastAsia="Times New Roman" w:hAnsi="Times New Roman"/>
          <w:sz w:val="17"/>
          <w:szCs w:val="17"/>
          <w:color w:val="auto"/>
        </w:rPr>
        <w:t>The Term Loan is payable in quarterly installments, with the balance remaining due at December 22, 2028. The Revolving Loan is due in a lump sum payment at maturity on December 22, 2026. The fair value of the Term Loan and Revolving Loan approximated carrying value at March 31, 2022.</w:t>
      </w:r>
    </w:p>
    <w:p>
      <w:pPr>
        <w:spacing w:after="0" w:line="9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December 2021, Digi made a one-time payment of $50 million against the term loan. In March 2022, Digi made a one-time payment of $11 million against the term loan.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96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 INDEBTEDNESS (CONTINUED)</w:t>
            </w: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5"/>
        </w:trPr>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is a summary of our long-term indebtedness at March 31, 2022 and September 30, 2021 (in thousands):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2"/>
        </w:trPr>
        <w:tc>
          <w:tcPr>
            <w:tcW w:w="128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Balance at September 30,</w:t>
            </w:r>
          </w:p>
        </w:tc>
      </w:tr>
      <w:tr>
        <w:trPr>
          <w:trHeight w:val="234"/>
        </w:trPr>
        <w:tc>
          <w:tcPr>
            <w:tcW w:w="128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Balance at March 31, 2022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Pr>
          <w:p>
            <w:pPr>
              <w:spacing w:after="0"/>
              <w:rPr>
                <w:sz w:val="20"/>
                <w:szCs w:val="20"/>
                <w:color w:val="auto"/>
              </w:rPr>
            </w:pPr>
          </w:p>
        </w:tc>
      </w:tr>
      <w:tr>
        <w:trPr>
          <w:trHeight w:val="230"/>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Loan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48,118</w:t>
            </w:r>
          </w:p>
        </w:tc>
        <w:tc>
          <w:tcPr>
            <w:tcW w:w="40" w:type="dxa"/>
            <w:vAlign w:val="bottom"/>
            <w:shd w:val="clear" w:color="auto" w:fill="CCEEFF"/>
          </w:tcPr>
          <w:p>
            <w:pPr>
              <w:spacing w:after="0"/>
              <w:rPr>
                <w:sz w:val="19"/>
                <w:szCs w:val="19"/>
                <w:color w:val="auto"/>
              </w:rPr>
            </w:pPr>
          </w:p>
        </w:tc>
      </w:tr>
      <w:tr>
        <w:trPr>
          <w:trHeight w:val="229"/>
        </w:trPr>
        <w:tc>
          <w:tcPr>
            <w:tcW w:w="6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1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288,749</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loans</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288,749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48,118</w:t>
            </w:r>
          </w:p>
        </w:tc>
        <w:tc>
          <w:tcPr>
            <w:tcW w:w="40" w:type="dxa"/>
            <w:vAlign w:val="bottom"/>
            <w:shd w:val="clear" w:color="auto" w:fill="CCEEFF"/>
          </w:tcPr>
          <w:p>
            <w:pPr>
              <w:spacing w:after="0"/>
              <w:rPr>
                <w:sz w:val="19"/>
                <w:szCs w:val="19"/>
                <w:color w:val="auto"/>
              </w:rPr>
            </w:pPr>
          </w:p>
        </w:tc>
      </w:tr>
      <w:tr>
        <w:trPr>
          <w:trHeight w:val="22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unamortized issuance costs</w:t>
            </w:r>
          </w:p>
        </w:tc>
        <w:tc>
          <w:tcPr>
            <w:tcW w:w="100" w:type="dxa"/>
            <w:vAlign w:val="bottom"/>
          </w:tcPr>
          <w:p>
            <w:pPr>
              <w:spacing w:after="0"/>
              <w:rPr>
                <w:sz w:val="19"/>
                <w:szCs w:val="19"/>
                <w:color w:val="auto"/>
              </w:rPr>
            </w:pPr>
          </w:p>
        </w:tc>
        <w:tc>
          <w:tcPr>
            <w:tcW w:w="2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(13,018)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(2,319)</w:t>
            </w:r>
          </w:p>
        </w:tc>
      </w:tr>
      <w:tr>
        <w:trPr>
          <w:trHeight w:val="22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10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(15,523)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260,208</w:t>
            </w: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45,799</w:t>
            </w:r>
          </w:p>
        </w:tc>
        <w:tc>
          <w:tcPr>
            <w:tcW w:w="40" w:type="dxa"/>
            <w:vAlign w:val="bottom"/>
            <w:tcBorders>
              <w:bottom w:val="single" w:sz="8" w:color="auto"/>
            </w:tcBorders>
          </w:tcPr>
          <w:p>
            <w:pPr>
              <w:spacing w:after="0"/>
              <w:rPr>
                <w:sz w:val="19"/>
                <w:szCs w:val="19"/>
                <w:color w:val="auto"/>
              </w:rPr>
            </w:pPr>
          </w:p>
        </w:tc>
      </w:tr>
      <w:tr>
        <w:trPr>
          <w:trHeight w:val="21"/>
        </w:trPr>
        <w:tc>
          <w:tcPr>
            <w:tcW w:w="6780" w:type="dxa"/>
            <w:vAlign w:val="bottom"/>
            <w:gridSpan w:val="2"/>
          </w:tcPr>
          <w:p>
            <w:pPr>
              <w:spacing w:after="0" w:line="20" w:lineRule="exact"/>
              <w:rPr>
                <w:sz w:val="1"/>
                <w:szCs w:val="1"/>
                <w:color w:val="auto"/>
              </w:rPr>
            </w:pPr>
          </w:p>
        </w:tc>
        <w:tc>
          <w:tcPr>
            <w:tcW w:w="21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547"/>
        </w:trPr>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is a summary of future maturities of our aggregate long-term debt at March 31, 2022 (in thousands):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9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Amount</w:t>
            </w:r>
          </w:p>
        </w:tc>
      </w:tr>
      <w:tr>
        <w:trPr>
          <w:trHeight w:val="223"/>
        </w:trPr>
        <w:tc>
          <w:tcPr>
            <w:tcW w:w="1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5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40" w:type="dxa"/>
            <w:vAlign w:val="bottom"/>
          </w:tcPr>
          <w:p>
            <w:pPr>
              <w:spacing w:after="0"/>
              <w:rPr>
                <w:sz w:val="19"/>
                <w:szCs w:val="19"/>
                <w:color w:val="auto"/>
              </w:rPr>
            </w:pPr>
          </w:p>
        </w:tc>
      </w:tr>
      <w:tr>
        <w:trPr>
          <w:trHeight w:val="22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40" w:type="dxa"/>
            <w:vAlign w:val="bottom"/>
          </w:tcPr>
          <w:p>
            <w:pPr>
              <w:spacing w:after="0"/>
              <w:rPr>
                <w:sz w:val="19"/>
                <w:szCs w:val="19"/>
                <w:color w:val="auto"/>
              </w:rPr>
            </w:pPr>
          </w:p>
        </w:tc>
      </w:tr>
      <w:tr>
        <w:trPr>
          <w:trHeight w:val="230"/>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40" w:type="dxa"/>
            <w:vAlign w:val="bottom"/>
          </w:tcPr>
          <w:p>
            <w:pPr>
              <w:spacing w:after="0"/>
              <w:rPr>
                <w:sz w:val="19"/>
                <w:szCs w:val="19"/>
                <w:color w:val="auto"/>
              </w:rPr>
            </w:pPr>
          </w:p>
        </w:tc>
      </w:tr>
      <w:tr>
        <w:trPr>
          <w:trHeight w:val="22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40" w:type="dxa"/>
            <w:vAlign w:val="bottom"/>
          </w:tcPr>
          <w:p>
            <w:pPr>
              <w:spacing w:after="0"/>
              <w:rPr>
                <w:sz w:val="19"/>
                <w:szCs w:val="19"/>
                <w:color w:val="auto"/>
              </w:rPr>
            </w:pPr>
          </w:p>
        </w:tc>
      </w:tr>
      <w:tr>
        <w:trPr>
          <w:trHeight w:val="229"/>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40" w:type="dxa"/>
            <w:vAlign w:val="bottom"/>
          </w:tcPr>
          <w:p>
            <w:pPr>
              <w:spacing w:after="0"/>
              <w:rPr>
                <w:sz w:val="19"/>
                <w:szCs w:val="19"/>
                <w:color w:val="auto"/>
              </w:rPr>
            </w:pPr>
          </w:p>
        </w:tc>
      </w:tr>
      <w:tr>
        <w:trPr>
          <w:trHeight w:val="23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40" w:type="dxa"/>
            <w:vAlign w:val="bottom"/>
          </w:tcPr>
          <w:p>
            <w:pPr>
              <w:spacing w:after="0"/>
              <w:rPr>
                <w:sz w:val="19"/>
                <w:szCs w:val="19"/>
                <w:color w:val="auto"/>
              </w:rPr>
            </w:pPr>
          </w:p>
        </w:tc>
      </w:tr>
      <w:tr>
        <w:trPr>
          <w:trHeight w:val="229"/>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192,499</w:t>
            </w:r>
          </w:p>
        </w:tc>
        <w:tc>
          <w:tcPr>
            <w:tcW w:w="40" w:type="dxa"/>
            <w:vAlign w:val="bottom"/>
          </w:tcPr>
          <w:p>
            <w:pPr>
              <w:spacing w:after="0"/>
              <w:rPr>
                <w:sz w:val="19"/>
                <w:szCs w:val="19"/>
                <w:color w:val="auto"/>
              </w:rPr>
            </w:pPr>
          </w:p>
        </w:tc>
      </w:tr>
      <w:tr>
        <w:trPr>
          <w:trHeight w:val="223"/>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288,749</w:t>
            </w:r>
          </w:p>
        </w:tc>
        <w:tc>
          <w:tcPr>
            <w:tcW w:w="40" w:type="dxa"/>
            <w:vAlign w:val="bottom"/>
          </w:tcPr>
          <w:p>
            <w:pPr>
              <w:spacing w:after="0"/>
              <w:rPr>
                <w:sz w:val="19"/>
                <w:szCs w:val="19"/>
                <w:color w:val="auto"/>
              </w:rPr>
            </w:pPr>
          </w:p>
        </w:tc>
      </w:tr>
      <w:tr>
        <w:trPr>
          <w:trHeight w:val="21"/>
        </w:trPr>
        <w:tc>
          <w:tcPr>
            <w:tcW w:w="12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 and Security Interest</w:t>
      </w:r>
    </w:p>
    <w:p>
      <w:pPr>
        <w:spacing w:after="0" w:line="18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agreements governing the Revolving Loan Facility contains a number of covenants. Among other provisions, these covenants require us to maintain a certain financial ratio (net leverage ratio and minimum fixed charge ratio). At March 31, 2022, we had no amounts drawn on the Revolving Loan Facility. Amounts borrowed under the Credit Facility are secured by substantially all of our assets.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SEGMENT INFORMATION</w:t>
      </w:r>
    </w:p>
    <w:p>
      <w:pPr>
        <w:spacing w:after="0" w:line="19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have two reportable segments: IoT Products &amp; Services and IoT Solutions. Effective with the reorganization announcement on October 7, 2020, our IoT Products &amp; Services business is now structured to include four operating segments, each with a segment manager. These four operating segments include:</w:t>
      </w:r>
    </w:p>
    <w:p>
      <w:pPr>
        <w:spacing w:after="0" w:line="135" w:lineRule="exact"/>
        <w:rPr>
          <w:sz w:val="20"/>
          <w:szCs w:val="20"/>
          <w:color w:val="auto"/>
        </w:rPr>
      </w:pPr>
    </w:p>
    <w:p>
      <w:pPr>
        <w:ind w:left="660" w:right="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Cellular Routers - box devices (fully enclosed) that provide connectivity typically in a place where the device can be plugged in exclusively using cellular communications.</w:t>
      </w:r>
    </w:p>
    <w:p>
      <w:pPr>
        <w:spacing w:after="0" w:line="12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Console Servers - similar to cellular routers except they are exclusively for edge computing installations and data center applications exclusively using cellular communications.</w:t>
      </w:r>
    </w:p>
    <w:p>
      <w:pPr>
        <w:spacing w:after="0" w:line="134"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OEM Solutions - Original Equipment Manufacturers ("OEM") will be a chip, rather than a boxed device. This can come in the form of a stand-alone chip, or from a systems-on-module ("SOMs"). While cellular connectivity is used, other communication protocols can be used such as Zigbee, Bluetooth or Radio-Frequency ("RF") based on application.</w:t>
      </w:r>
    </w:p>
    <w:p>
      <w:pPr>
        <w:spacing w:after="0" w:line="135"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Management - includes battery operated, cellular enabled connect sensors as well as other types of console server applications that are more Digi Accelerated Linux ("DAL") based than Console Servers. This operating segment has some products that do not use cellular communications, but a large part of this segment does use cellular communications.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SEGMENT INFORMATION (CONTINUED)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acquisition of Ventus on November 1, 2021, IoT Solutions is now comprised of two operating segments:</w:t>
      </w:r>
    </w:p>
    <w:p>
      <w:pPr>
        <w:spacing w:after="0" w:line="18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SmartSense - offers wireless temperature and other condition-based monitoring services as well as employee task management services.</w:t>
      </w:r>
    </w:p>
    <w:p>
      <w:pPr>
        <w:spacing w:after="0" w:line="184"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Ventus - provides MNaaS solutions that simplify the complexity of enterprise wide area network ("WAN") connectivity via wireless and fixed line solutions.</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operating segments included in each reportable segment have similar qualitative and quantitative factors which allow us to aggregate them under each reportable segment. The qualitative factors include similar nature of products and services, production process, type or class of customers and methods used to distribute the products. The quantitative factors include similar operating margins. Our CODM reviews and makes business decisions which includes a primary review of operating income but also includes gross profit. Following the October 2020 reorganization, the shared general and administrative costs began being allocated to each operating segment. As a result, our disclosed measure of segment operating income has been updated for all periods presented to conform with this change.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operating results for each of our segments were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334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6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0" w:type="dxa"/>
            <w:vAlign w:val="bottom"/>
          </w:tcPr>
          <w:p>
            <w:pPr>
              <w:spacing w:after="0"/>
              <w:rPr>
                <w:sz w:val="1"/>
                <w:szCs w:val="1"/>
                <w:color w:val="auto"/>
              </w:rPr>
            </w:pPr>
          </w:p>
        </w:tc>
      </w:tr>
      <w:tr>
        <w:trPr>
          <w:trHeight w:val="223"/>
        </w:trPr>
        <w:tc>
          <w:tcPr>
            <w:tcW w:w="4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2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65,632</w:t>
            </w: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137,114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127,412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4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IoT Solutions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41,856</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178,970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150,447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520" w:type="dxa"/>
            <w:vAlign w:val="bottom"/>
            <w:gridSpan w:val="2"/>
            <w:vMerge w:val="continue"/>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34,457</w:t>
            </w: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74,136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70,136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4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IoT Solutions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25,729</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gross profit</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99,865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520" w:type="dxa"/>
            <w:vAlign w:val="bottom"/>
            <w:gridSpan w:val="2"/>
            <w:vMerge w:val="continue"/>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4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IoT Solutions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income (loss)</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520" w:type="dxa"/>
            <w:vAlign w:val="bottom"/>
            <w:gridSpan w:val="2"/>
            <w:vMerge w:val="continue"/>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4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IoT Solutions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expended for property, plant and equipment was (in thousands):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6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IoT Solutions*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4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expended for property, plant and equipment</w:t>
            </w:r>
          </w:p>
        </w:tc>
        <w:tc>
          <w:tcPr>
            <w:tcW w:w="98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Excluded from this amount is $1,215 and $1,399 of transfers of inventory to property plant and equipment for subscriber assets for the six months ended March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7960" w:type="dxa"/>
            <w:vAlign w:val="bottom"/>
            <w:gridSpan w:val="3"/>
          </w:tcPr>
          <w:p>
            <w:pPr>
              <w:jc w:val="center"/>
              <w:ind w:right="6680"/>
              <w:spacing w:after="0"/>
              <w:rPr>
                <w:sz w:val="20"/>
                <w:szCs w:val="20"/>
                <w:color w:val="auto"/>
              </w:rPr>
            </w:pPr>
            <w:r>
              <w:rPr>
                <w:rFonts w:ascii="Times New Roman" w:cs="Times New Roman" w:eastAsia="Times New Roman" w:hAnsi="Times New Roman"/>
                <w:sz w:val="18"/>
                <w:szCs w:val="18"/>
                <w:color w:val="0000FF"/>
                <w:w w:val="99"/>
              </w:rPr>
              <w:t>Table of Contents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96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 SEGMENT INFORMATION (CONTINUED)</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05"/>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 for each of our segments were (in thousands):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92"/>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March 31,</w:t>
            </w:r>
          </w:p>
        </w:tc>
        <w:tc>
          <w:tcPr>
            <w:tcW w:w="18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237"/>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7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386,934</w:t>
            </w:r>
          </w:p>
        </w:tc>
      </w:tr>
      <w:tr>
        <w:trPr>
          <w:trHeight w:val="230"/>
        </w:trPr>
        <w:tc>
          <w:tcPr>
            <w:tcW w:w="40" w:type="dxa"/>
            <w:vAlign w:val="bottom"/>
          </w:tcPr>
          <w:p>
            <w:pPr>
              <w:spacing w:after="0"/>
              <w:rPr>
                <w:sz w:val="19"/>
                <w:szCs w:val="19"/>
                <w:color w:val="auto"/>
              </w:rPr>
            </w:pPr>
          </w:p>
        </w:tc>
        <w:tc>
          <w:tcPr>
            <w:tcW w:w="7920" w:type="dxa"/>
            <w:vAlign w:val="bottom"/>
            <w:gridSpan w:val="2"/>
          </w:tcPr>
          <w:p>
            <w:pPr>
              <w:jc w:val="center"/>
              <w:ind w:right="6680"/>
              <w:spacing w:after="0"/>
              <w:rPr>
                <w:sz w:val="20"/>
                <w:szCs w:val="20"/>
                <w:color w:val="auto"/>
              </w:rPr>
            </w:pPr>
            <w:r>
              <w:rPr>
                <w:rFonts w:ascii="Times New Roman" w:cs="Times New Roman" w:eastAsia="Times New Roman" w:hAnsi="Times New Roman"/>
                <w:sz w:val="18"/>
                <w:szCs w:val="18"/>
                <w:color w:val="auto"/>
              </w:rPr>
              <w:t>IoT Solutions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80,165</w:t>
            </w:r>
          </w:p>
        </w:tc>
      </w:tr>
      <w:tr>
        <w:trPr>
          <w:trHeight w:val="229"/>
        </w:trPr>
        <w:tc>
          <w:tcPr>
            <w:tcW w:w="40" w:type="dxa"/>
            <w:vAlign w:val="bottom"/>
          </w:tcPr>
          <w:p>
            <w:pPr>
              <w:spacing w:after="0"/>
              <w:rPr>
                <w:sz w:val="19"/>
                <w:szCs w:val="19"/>
                <w:color w:val="auto"/>
              </w:rPr>
            </w:pPr>
          </w:p>
        </w:tc>
        <w:tc>
          <w:tcPr>
            <w:tcW w:w="7920" w:type="dxa"/>
            <w:vAlign w:val="bottom"/>
            <w:gridSpan w:val="2"/>
            <w:shd w:val="clear" w:color="auto" w:fill="CCEEFF"/>
          </w:tcPr>
          <w:p>
            <w:pPr>
              <w:jc w:val="center"/>
              <w:ind w:right="6720"/>
              <w:spacing w:after="0"/>
              <w:rPr>
                <w:sz w:val="20"/>
                <w:szCs w:val="20"/>
                <w:color w:val="auto"/>
              </w:rPr>
            </w:pPr>
            <w:r>
              <w:rPr>
                <w:rFonts w:ascii="Times New Roman" w:cs="Times New Roman" w:eastAsia="Times New Roman" w:hAnsi="Times New Roman"/>
                <w:sz w:val="18"/>
                <w:szCs w:val="18"/>
                <w:color w:val="auto"/>
                <w:w w:val="99"/>
              </w:rPr>
              <w:t>Unallocated*</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152,432</w:t>
            </w:r>
          </w:p>
        </w:tc>
      </w:tr>
      <w:tr>
        <w:trPr>
          <w:trHeight w:val="223"/>
        </w:trPr>
        <w:tc>
          <w:tcPr>
            <w:tcW w:w="40" w:type="dxa"/>
            <w:vAlign w:val="bottom"/>
          </w:tcPr>
          <w:p>
            <w:pPr>
              <w:spacing w:after="0"/>
              <w:rPr>
                <w:sz w:val="19"/>
                <w:szCs w:val="19"/>
                <w:color w:val="auto"/>
              </w:rPr>
            </w:pPr>
          </w:p>
        </w:tc>
        <w:tc>
          <w:tcPr>
            <w:tcW w:w="7920" w:type="dxa"/>
            <w:vAlign w:val="bottom"/>
            <w:gridSpan w:val="2"/>
          </w:tcPr>
          <w:p>
            <w:pPr>
              <w:jc w:val="center"/>
              <w:ind w:right="6680"/>
              <w:spacing w:after="0"/>
              <w:rPr>
                <w:sz w:val="20"/>
                <w:szCs w:val="20"/>
                <w:color w:val="auto"/>
              </w:rPr>
            </w:pPr>
            <w:r>
              <w:rPr>
                <w:rFonts w:ascii="Times New Roman" w:cs="Times New Roman" w:eastAsia="Times New Roman" w:hAnsi="Times New Roman"/>
                <w:sz w:val="18"/>
                <w:szCs w:val="18"/>
                <w:color w:val="auto"/>
                <w:w w:val="99"/>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869,530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619,531</w:t>
            </w: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*Unallocated consists of cash and cash equivalents.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REVENUE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Disaggregation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revenue by geographic location of our customers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34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280" w:type="dxa"/>
            <w:vAlign w:val="bottom"/>
          </w:tcPr>
          <w:p>
            <w:pPr>
              <w:spacing w:after="0"/>
              <w:rPr>
                <w:sz w:val="20"/>
                <w:szCs w:val="20"/>
                <w:color w:val="auto"/>
              </w:rPr>
            </w:pPr>
          </w:p>
        </w:tc>
        <w:tc>
          <w:tcPr>
            <w:tcW w:w="270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Six months ended March 31,</w:t>
            </w:r>
          </w:p>
        </w:tc>
      </w:tr>
      <w:tr>
        <w:trPr>
          <w:trHeight w:val="223"/>
        </w:trPr>
        <w:tc>
          <w:tcPr>
            <w:tcW w:w="492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 primarily the United States</w:t>
            </w: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110,441</w:t>
            </w: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&amp; Africa</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22,226</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17,780</w:t>
            </w:r>
          </w:p>
        </w:tc>
      </w:tr>
      <w:tr>
        <w:trPr>
          <w:trHeight w:val="223"/>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9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94,713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77,301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178,970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150,447</w:t>
            </w:r>
          </w:p>
        </w:tc>
      </w:tr>
      <w:tr>
        <w:trPr>
          <w:trHeight w:val="20"/>
        </w:trPr>
        <w:tc>
          <w:tcPr>
            <w:tcW w:w="49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revenue by the timing of revenue recognition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34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280" w:type="dxa"/>
            <w:vAlign w:val="bottom"/>
          </w:tcPr>
          <w:p>
            <w:pPr>
              <w:spacing w:after="0"/>
              <w:rPr>
                <w:sz w:val="20"/>
                <w:szCs w:val="20"/>
                <w:color w:val="auto"/>
              </w:rPr>
            </w:pPr>
          </w:p>
        </w:tc>
        <w:tc>
          <w:tcPr>
            <w:tcW w:w="270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Six months ended March 31,</w:t>
            </w:r>
          </w:p>
        </w:tc>
      </w:tr>
      <w:tr>
        <w:trPr>
          <w:trHeight w:val="223"/>
        </w:trPr>
        <w:tc>
          <w:tcPr>
            <w:tcW w:w="492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at a point in time</w:t>
            </w: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133,332</w:t>
            </w:r>
          </w:p>
        </w:tc>
      </w:tr>
      <w:tr>
        <w:trPr>
          <w:trHeight w:val="230"/>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Transferred over time</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17,115</w:t>
            </w:r>
          </w:p>
        </w:tc>
      </w:tr>
      <w:tr>
        <w:trPr>
          <w:trHeight w:val="248"/>
        </w:trPr>
        <w:tc>
          <w:tcPr>
            <w:tcW w:w="4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150,447</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Contract assets consist of subscriber assets. These subscriber assets relate to fees in certain contracts that we charge our customers so they can begin using equipment. In these cases, we retain the ownership of the equipment that the customer uses. The total net book value of subscriber assets of $9.6 million and $1.9 million as of March 31, 2022 and September 30, 2021, respectively, are included in property, equipment and improvements, net. The March 31, 2022 balance includes $8.1 million acquired in the acquisition of Ventus. Depreciation expense for these subscriber assets, which is included in cost of sales, was $1.1 million and $0.5 million for the three months ended March 31, 2022 and March 31, 2021, respectively and $1.9 million and $1.0 million for the six months ended March 31, 2022 and March 31, 2021, respectively. We depreciate the cost of this equipment over its useful life.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18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invoicing to customers. Customers are invoiced for subscription services on a monthly, quarterly or annual basis. Contract liabilities consist of unearned revenue related to annual or multi-year contracts for subscription services and related implementation fees, as well as product sales that have been invoiced, but not yet fulfilled.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REVENUE (CONTINUED)</w:t>
      </w:r>
    </w:p>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contract liabilities were $24.8 million and $16.4 million at March 31, 2022 and 2021, respectively. The March 31, 2022 balance includes $2.1 million assumed from the Ventus acquisition completed in November 2021.</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Of the $24.3 million and $13.1 million balances as of December 31, 2021 and 2021, Digi recognized $5.0 million and $4.0 million in the three months ended March 31, 2022 and 2021, respectively. Of the $15.5 million and $9.3 million balances as of September 30, 2021 and 2020, Digi recognized $10.0 million and $7.3 million in the six months ended March 31, 2022 and 2021,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Transaction Price</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Transaction price allocated to the remaining performance obligations represents contracted revenue that has not been recognized. This includes unearned revenue and unbilled amounts that will be recognized as revenue in future periods. As of March 31, 2022, approximately $24.8 million of revenue is expected to be recognized from remaining performance obligations. We expect to recognize revenue on approximately $21.3 million of remaining performance obligations over the next twelve months. Revenue from the remaining performance obligations we expect to recognize over a range of two to seven years.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INCOME TAXES</w:t>
      </w:r>
    </w:p>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income tax benefit was $2.0 million for the six months ended March 31, 2022. Included in this benefit was a net tax benefit discretely related to the six months ended March 31, 2022 of $2.2 million. This benefit primarily was the result of excess tax benefits recognized on stock compensation.</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Income tax benefit was $0.2 million for the six months ended March 31, 2021. Included in this benefit was a net tax benefit discretely related to the six months ended March 31, 2021 of $0.8 million. This benefit primarily was the result of excess tax benefits recognized on stock compensation.</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effective tax rate will vary based on a variety of factors. These include our overall profitability, the geographical mix of income before taxes and related statutory tax rate in each jurisdiction, and tax items discretely related to the period, such as settlements of audits. We may record other benefits or expenses in the future that are specific to a particular quarter such as expiration of statutes of limitation, the completion of tax audits, or legislation that is enacted in both U.S. and foreign jurisdictions.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(in thousands):</w:t>
            </w: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121"/>
        </w:trPr>
        <w:tc>
          <w:tcPr>
            <w:tcW w:w="9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230"/>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as of September 30, 2021</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r>
      <w:tr>
        <w:trPr>
          <w:trHeight w:val="230"/>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related to:</w:t>
            </w: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9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Expiration of statute of limitations</w:t>
            </w: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 as of March 31, 2022</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w:t>
            </w:r>
          </w:p>
        </w:tc>
      </w:tr>
      <w:tr>
        <w:trPr>
          <w:trHeight w:val="20"/>
        </w:trPr>
        <w:tc>
          <w:tcPr>
            <w:tcW w:w="9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total amount of unrecognized tax benefits at March 31, 2022 that, if recognized, would affect our effective tax rate was $2.7 million, after considering the impact of interest and deferred benefit items. We expect that the total amount of unrecognized tax benefits will decrease by approximately $0.7 million over the next 12 months.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PRODUCT WARRANTY OBLIGATION</w:t>
      </w:r>
    </w:p>
    <w:p>
      <w:pPr>
        <w:spacing w:after="0" w:line="198"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18"/>
          <w:szCs w:val="18"/>
          <w:color w:val="auto"/>
        </w:rPr>
        <w:t>The following tables summarize the activity associated with the product warranty accrual (in thousands) and is included on our condensed consolidated balance sheets within current liabilities: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Balance at</w:t>
            </w:r>
          </w:p>
        </w:tc>
        <w:tc>
          <w:tcPr>
            <w:tcW w:w="20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Warranties</w:t>
            </w:r>
          </w:p>
        </w:tc>
        <w:tc>
          <w:tcPr>
            <w:tcW w:w="16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Settlements</w:t>
            </w:r>
          </w:p>
        </w:tc>
        <w:tc>
          <w:tcPr>
            <w:tcW w:w="220" w:type="dxa"/>
            <w:vAlign w:val="bottom"/>
          </w:tcPr>
          <w:p>
            <w:pPr>
              <w:spacing w:after="0"/>
              <w:rPr>
                <w:sz w:val="19"/>
                <w:szCs w:val="19"/>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Balance at</w:t>
            </w:r>
          </w:p>
        </w:tc>
      </w:tr>
      <w:tr>
        <w:trPr>
          <w:trHeight w:val="23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6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January 1</w:t>
            </w:r>
          </w:p>
        </w:tc>
        <w:tc>
          <w:tcPr>
            <w:tcW w:w="2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issued</w:t>
            </w:r>
          </w:p>
        </w:tc>
        <w:tc>
          <w:tcPr>
            <w:tcW w:w="16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made</w:t>
            </w:r>
          </w:p>
        </w:tc>
        <w:tc>
          <w:tcPr>
            <w:tcW w:w="220" w:type="dxa"/>
            <w:vAlign w:val="bottom"/>
          </w:tcPr>
          <w:p>
            <w:pPr>
              <w:spacing w:after="0"/>
              <w:rPr>
                <w:sz w:val="20"/>
                <w:szCs w:val="20"/>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March 31</w:t>
            </w:r>
          </w:p>
        </w:tc>
      </w:tr>
      <w:tr>
        <w:trPr>
          <w:trHeight w:val="223"/>
        </w:trPr>
        <w:tc>
          <w:tcPr>
            <w:tcW w:w="4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2022</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3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2021</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r>
      <w:tr>
        <w:trPr>
          <w:trHeight w:val="530"/>
        </w:trPr>
        <w:tc>
          <w:tcPr>
            <w:tcW w:w="4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Balance at</w:t>
            </w:r>
          </w:p>
        </w:tc>
        <w:tc>
          <w:tcPr>
            <w:tcW w:w="2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Warranties</w:t>
            </w:r>
          </w:p>
        </w:tc>
        <w:tc>
          <w:tcPr>
            <w:tcW w:w="16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Settlements</w:t>
            </w:r>
          </w:p>
        </w:tc>
        <w:tc>
          <w:tcPr>
            <w:tcW w:w="220" w:type="dxa"/>
            <w:vAlign w:val="bottom"/>
          </w:tcPr>
          <w:p>
            <w:pPr>
              <w:spacing w:after="0"/>
              <w:rPr>
                <w:sz w:val="24"/>
                <w:szCs w:val="24"/>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Balance at</w:t>
            </w:r>
          </w:p>
        </w:tc>
      </w:tr>
      <w:tr>
        <w:trPr>
          <w:trHeight w:val="23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6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October 1</w:t>
            </w:r>
          </w:p>
        </w:tc>
        <w:tc>
          <w:tcPr>
            <w:tcW w:w="2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issued</w:t>
            </w:r>
          </w:p>
        </w:tc>
        <w:tc>
          <w:tcPr>
            <w:tcW w:w="16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made</w:t>
            </w:r>
          </w:p>
        </w:tc>
        <w:tc>
          <w:tcPr>
            <w:tcW w:w="220" w:type="dxa"/>
            <w:vAlign w:val="bottom"/>
          </w:tcPr>
          <w:p>
            <w:pPr>
              <w:spacing w:after="0"/>
              <w:rPr>
                <w:sz w:val="20"/>
                <w:szCs w:val="20"/>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March 31</w:t>
            </w:r>
          </w:p>
        </w:tc>
      </w:tr>
      <w:tr>
        <w:trPr>
          <w:trHeight w:val="223"/>
        </w:trPr>
        <w:tc>
          <w:tcPr>
            <w:tcW w:w="4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Six months ended March 31, 2022</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3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Six months ended March 31, 2021</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LEASES</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All of our leases are operating leases and primarily consist of leases for office space. For any lease with an initial term in excess of twelve months, the related lease assets and lease liabilities are recognized on the condensed consolidated balance sheets as either operating or financing leases at the inception of an agreement where it is determined that a lease exists. We have lease agreements that contain both lease and non-lease components. We have elected to combine lease and non-lease components for all classes of assets. Leases with an expected term of twelve months or less are not recorded on the condensed consolidated balance sheets. Instead we recognize lease expense for these leases on a straight-line basis over the lease term.</w:t>
      </w:r>
    </w:p>
    <w:p>
      <w:pPr>
        <w:spacing w:after="0" w:line="14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Operating lease assets represent the right to use an underlying asset for the lease term and operating lease liabilities represent the obligation to make lease payments. These assets and liabilities are recognized based on the present value of future payments over the lease term at the commencement date. We generally use a collateralized incremental borrowing rate based on information available at the commencement date, including the lease term, in determining the present value of future payments. When determining our right-of-use asset, we generally do not include options to extend or terminate the lease unless it is reasonably certain that the option will be exercised.</w:t>
      </w:r>
    </w:p>
    <w:p>
      <w:pPr>
        <w:spacing w:after="0" w:line="1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leases typically require payment of real estate taxes and common area maintenance and insurance. These components comprise the majority of our variable lease cost and are excluded from the present value of our lease obligations. Fixed payments may contain predetermined fixed rent escalations. We recognize the related rent expense on a straight-line basis from the commencement date to the end of the lease term.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supplemental balance sheet information related to our leases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Sheet Location</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March 31, 2022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 2021</w:t>
            </w:r>
          </w:p>
        </w:tc>
        <w:tc>
          <w:tcPr>
            <w:tcW w:w="0" w:type="dxa"/>
            <w:vAlign w:val="bottom"/>
          </w:tcPr>
          <w:p>
            <w:pPr>
              <w:spacing w:after="0"/>
              <w:rPr>
                <w:sz w:val="1"/>
                <w:szCs w:val="1"/>
                <w:color w:val="auto"/>
              </w:rPr>
            </w:pPr>
          </w:p>
        </w:tc>
      </w:tr>
      <w:tr>
        <w:trPr>
          <w:trHeight w:val="210"/>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60" w:type="dxa"/>
            <w:vAlign w:val="bottom"/>
            <w:tcBorders>
              <w:top w:val="single" w:sz="8" w:color="auto"/>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15,435</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15,684</w:t>
            </w:r>
          </w:p>
        </w:tc>
        <w:tc>
          <w:tcPr>
            <w:tcW w:w="0" w:type="dxa"/>
            <w:vAlign w:val="bottom"/>
          </w:tcPr>
          <w:p>
            <w:pPr>
              <w:spacing w:after="0"/>
              <w:rPr>
                <w:sz w:val="1"/>
                <w:szCs w:val="1"/>
                <w:color w:val="auto"/>
              </w:rPr>
            </w:pPr>
          </w:p>
        </w:tc>
      </w:tr>
      <w:tr>
        <w:trPr>
          <w:trHeight w:val="248"/>
        </w:trPr>
        <w:tc>
          <w:tcPr>
            <w:tcW w:w="22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assets</w:t>
            </w:r>
          </w:p>
        </w:tc>
        <w:tc>
          <w:tcPr>
            <w:tcW w:w="3260" w:type="dxa"/>
            <w:vAlign w:val="bottom"/>
            <w:tcBorders>
              <w:top w:val="single" w:sz="8" w:color="CCEEFF"/>
              <w:bottom w:val="single" w:sz="8" w:color="CCEEFF"/>
            </w:tcBorders>
            <w:shd w:val="clear" w:color="auto" w:fill="CCEEFF"/>
          </w:tcPr>
          <w:p>
            <w:pPr>
              <w:spacing w:after="0"/>
              <w:rPr>
                <w:sz w:val="21"/>
                <w:szCs w:val="21"/>
                <w:color w:val="auto"/>
              </w:rPr>
            </w:pPr>
          </w:p>
        </w:tc>
        <w:tc>
          <w:tcPr>
            <w:tcW w:w="24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15,684</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2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6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17,625</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18,368</w:t>
            </w:r>
          </w:p>
        </w:tc>
        <w:tc>
          <w:tcPr>
            <w:tcW w:w="0" w:type="dxa"/>
            <w:vAlign w:val="bottom"/>
          </w:tcPr>
          <w:p>
            <w:pPr>
              <w:spacing w:after="0"/>
              <w:rPr>
                <w:sz w:val="1"/>
                <w:szCs w:val="1"/>
                <w:color w:val="auto"/>
              </w:rPr>
            </w:pPr>
          </w:p>
        </w:tc>
      </w:tr>
      <w:tr>
        <w:trPr>
          <w:trHeight w:val="223"/>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liabilities</w:t>
            </w:r>
          </w:p>
        </w:tc>
        <w:tc>
          <w:tcPr>
            <w:tcW w:w="32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20,515</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21,001</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440" w:type="dxa"/>
            <w:vAlign w:val="bottom"/>
            <w:vMerge w:val="restart"/>
          </w:tcPr>
          <w:p>
            <w:pPr>
              <w:jc w:val="right"/>
              <w:ind w:right="209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22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0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LEASES (CONTINUED)</w:t>
      </w:r>
    </w:p>
    <w:p>
      <w:pPr>
        <w:spacing w:after="0" w:line="15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were the components of our lease cost which is recorded in both cost of goods sold and selling, general and administrative expense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color w:val="auto"/>
              </w:rPr>
              <w:t>Six months ended March 31,</w:t>
            </w:r>
          </w:p>
        </w:tc>
      </w:tr>
      <w:tr>
        <w:trPr>
          <w:trHeight w:val="223"/>
        </w:trPr>
        <w:tc>
          <w:tcPr>
            <w:tcW w:w="47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w:t>
            </w:r>
          </w:p>
        </w:tc>
      </w:tr>
      <w:tr>
        <w:trPr>
          <w:trHeight w:val="20"/>
        </w:trPr>
        <w:tc>
          <w:tcPr>
            <w:tcW w:w="470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85"/>
        </w:trPr>
        <w:tc>
          <w:tcPr>
            <w:tcW w:w="7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presents supplemental information related to operating leases (in thousands):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5"/>
        </w:trPr>
        <w:tc>
          <w:tcPr>
            <w:tcW w:w="4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color w:val="auto"/>
              </w:rPr>
              <w:t>Six months ended March 31,</w:t>
            </w:r>
          </w:p>
        </w:tc>
      </w:tr>
      <w:tr>
        <w:trPr>
          <w:trHeight w:val="223"/>
        </w:trPr>
        <w:tc>
          <w:tcPr>
            <w:tcW w:w="47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3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acquired in Ventus acquisition</w:t>
            </w: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tenant improvement allowance</w:t>
            </w: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4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At March 31, 2022 the weighted average remaining lease term of our operating leases was 8.5 years and the weighted average discount rate for these leases was 2.7%.</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as well as all the remaining years to the operating lease liabilities recorded on the condensed consolidated balance sheet as of March 31, 2022 (in thousands):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w:t>
            </w:r>
          </w:p>
        </w:tc>
        <w:tc>
          <w:tcPr>
            <w:tcW w:w="400" w:type="dxa"/>
            <w:vAlign w:val="bottom"/>
          </w:tcPr>
          <w:p>
            <w:pPr>
              <w:spacing w:after="0"/>
              <w:rPr>
                <w:sz w:val="20"/>
                <w:szCs w:val="20"/>
                <w:color w:val="auto"/>
              </w:rPr>
            </w:pPr>
          </w:p>
        </w:tc>
        <w:tc>
          <w:tcPr>
            <w:tcW w:w="15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Amount</w:t>
            </w:r>
          </w:p>
        </w:tc>
      </w:tr>
      <w:tr>
        <w:trPr>
          <w:trHeight w:val="223"/>
        </w:trPr>
        <w:tc>
          <w:tcPr>
            <w:tcW w:w="9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r>
      <w:tr>
        <w:trPr>
          <w:trHeight w:val="229"/>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w:t>
            </w:r>
          </w:p>
        </w:tc>
      </w:tr>
      <w:tr>
        <w:trPr>
          <w:trHeight w:val="230"/>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r>
      <w:tr>
        <w:trPr>
          <w:trHeight w:val="230"/>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r>
      <w:tr>
        <w:trPr>
          <w:trHeight w:val="230"/>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r>
      <w:tr>
        <w:trPr>
          <w:trHeight w:val="229"/>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r>
      <w:tr>
        <w:trPr>
          <w:trHeight w:val="230"/>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7,069</w:t>
            </w:r>
          </w:p>
        </w:tc>
      </w:tr>
      <w:tr>
        <w:trPr>
          <w:trHeight w:val="223"/>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future undiscounted lease payments</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23,041</w:t>
            </w:r>
          </w:p>
        </w:tc>
      </w:tr>
      <w:tr>
        <w:trPr>
          <w:trHeight w:val="230"/>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r>
      <w:tr>
        <w:trPr>
          <w:trHeight w:val="223"/>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reported lease liability</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20,515</w:t>
            </w:r>
          </w:p>
        </w:tc>
      </w:tr>
      <w:tr>
        <w:trPr>
          <w:trHeight w:val="21"/>
        </w:trPr>
        <w:tc>
          <w:tcPr>
            <w:tcW w:w="9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COMMITMENTS AND CONTINGENCIES</w:t>
      </w:r>
    </w:p>
    <w:p>
      <w:pPr>
        <w:spacing w:after="0" w:line="18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 xml:space="preserve">We lease certain of our buildings and equipment under noncancelable lease agreements. Please refer to </w:t>
      </w:r>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color w:val="auto"/>
        </w:rPr>
        <w:t xml:space="preserve"> to our condensed consolidated financial statements for additional information.</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are presently, and expect in the future to be, subject to various claims and litigation with third parties such as non-practicing intellectual property entities as well as customers, vendors and/or employees. There can be no assurance that any claims by third parties, if proven to have merit, will not materially adversely affect our business, liquidity or financial condition.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STOCK-BASED COMPENSATION</w:t>
      </w:r>
    </w:p>
    <w:p>
      <w:pPr>
        <w:spacing w:after="0" w:line="18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Stock-based awards were granted under the 2021 Omnibus Incentive Plan (as amended and restated, the "2021 Plan") beginning January 29, 2021. Prior to that date, such awards made in fiscal 2021 were granted under the 2020 Omnibus Incentive Plan (the "2020 Plan"). Upon stockholder approval of the 2021 Plan on January 29, 2021, we ceased granting awards under the 2020 Plan. On January 28, 2022, the stockholders approved the amendment and restatement of the 2021 Plan. Shares subject to awards under the 2020 Plan or any prior plans that are forfeited, canceled, returned to us for failure to satisfy vesting requirements, settled in cash or otherwise terminated without payment also will be available for grant under the 2021 Plan. The authority to grant options under the 2021 Plan and set other terms and conditions rests with the Compensation Committee of the Board of Directors.</w:t>
      </w:r>
    </w:p>
    <w:p>
      <w:pPr>
        <w:spacing w:after="0" w:line="14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The 2021 Plan authorizes the issuance of up to 2,400,000 common shares in connection with awards of stock options, stock appreciation rights, restricted stock, restricted stock units, performance-based full value awards or other stock-based awards. Eligible participants include our employees, our affiliates, non-employee directors of our Company and any consultant or advisor who is a natural person and provides services to us or our affiliates. Options that have been granted under the 2021 Plan typically vest over a four-year period and will expire if unexercised after seven years from the date of grant. Restricted stock unit awards ("RSUs") that have been granted to directors typically vest in one year. RSUs that have been granted to executives and employees typically vest in January over a four-year period. Performance stock unit awards ("PSUs") that have been granted to an executive will vest based on achievement of a cumulative adjusted earnings per share metric measured over a three-year period. Share-based compensation expenses recorded for this performance award is reevaluated at each reporting period based on the probability of achievement of the goal. The 2021 Plan is scheduled to expire on January 28, 2032. Options under the 2021 Plan can be granted as either incentive stock options or non-statutory stock options. The exercise price of options and the grant date price of RSUs and PSUs is determined by our Compensation Committee but will not be less than the fair market value of our common stock based on the closing price as of the date of grant. Upon exercise of options or settlement of vested restricted stock units or performance stock units, we issue new shares of stock. As of March 31, 2022, there were approximately 1,781,574 shares available for future grants under the 2021 Plan.</w:t>
      </w:r>
    </w:p>
    <w:p>
      <w:pPr>
        <w:spacing w:after="0" w:line="15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Cash received from the exercise of stock options was $5.6 million and $6.6 million for the six months ended March 31, 2022 and March 31, 2021, respectively.</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equity plans and corresponding forms of award agreements generally have provisions allowing employees to elect to satisfy tax withholding obligations through the delivery of shares. When employees make this election, we retain a portion of shares issuable under the award. Tax with withholding obligations otherwise occur by the employee paying cash to us for the withholding. During the six months ended March 31, 2022 and 2021, our employees forfeited 630,181 shares and 83,928 shares, respectively, in order to satisfy respective withholding tax obligations of $6.4 million and $1.9 million, respectively.</w:t>
      </w:r>
    </w:p>
    <w:p>
      <w:pPr>
        <w:spacing w:after="0" w:line="14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sponsor an Employee Stock Purchase Plan as amended and restated as of December 10, 2019, October 29, 2013, December 4, 2009 and November 27, 2006 (the "ESPP"), covering all domestic employees with at least 90 days of continuous service and who are customarily employed at least 20 hours per week. The ESPP allows eligible participants the right to purchase common stock on a quarterly basis at the lower of 85% of the market price at the beginning or end of each three-month offering period. The most recent amendments to the ESPP, ratified by our stockholders on January 29, 2020, increased the total number of shares to 3,425,000 that may be purchased under the plan. ESPP contributions by employees were $0.7 million and $0.6 million for the six months ended March 31, 2022 and March 31, 2021, respectively. Pursuant to the ESPP, 36,987 and 25,246 common shares were issued to employees during the six months ended March 31, 2022 and March 31, 2021, respectively. Shares are issued under the ESPP from treasury stock. As of March 31, 2022, 596,083 common shares were available for future issuances under the ESPP.</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STOCK-BASED COMPENSATION (CONTINUED)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stock-based compensation expense that is included in the consolidated results of operations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Six months ended March 31,</w:t>
            </w:r>
          </w:p>
        </w:tc>
      </w:tr>
      <w:tr>
        <w:trPr>
          <w:trHeight w:val="223"/>
        </w:trPr>
        <w:tc>
          <w:tcPr>
            <w:tcW w:w="45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29"/>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1,472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w:t>
            </w:r>
          </w:p>
        </w:tc>
      </w:tr>
      <w:tr>
        <w:trPr>
          <w:trHeight w:val="223"/>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before income taxes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w:t>
            </w:r>
          </w:p>
        </w:tc>
      </w:tr>
      <w:tr>
        <w:trPr>
          <w:trHeight w:val="229"/>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48"/>
        </w:trPr>
        <w:tc>
          <w:tcPr>
            <w:tcW w:w="4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after income taxes</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stock option activity (in thousands, except per common share amounts):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Options</w:t>
            </w:r>
          </w:p>
        </w:tc>
        <w:tc>
          <w:tcPr>
            <w:tcW w:w="1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180" w:type="dxa"/>
            <w:vAlign w:val="bottom"/>
          </w:tcPr>
          <w:p>
            <w:pPr>
              <w:spacing w:after="0"/>
              <w:rPr>
                <w:sz w:val="17"/>
                <w:szCs w:val="17"/>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Aggregate</w:t>
            </w:r>
          </w:p>
        </w:tc>
        <w:tc>
          <w:tcPr>
            <w:tcW w:w="0" w:type="dxa"/>
            <w:vAlign w:val="bottom"/>
          </w:tcPr>
          <w:p>
            <w:pPr>
              <w:spacing w:after="0"/>
              <w:rPr>
                <w:sz w:val="1"/>
                <w:szCs w:val="1"/>
                <w:color w:val="auto"/>
              </w:rPr>
            </w:pPr>
          </w:p>
        </w:tc>
      </w:tr>
      <w:tr>
        <w:trPr>
          <w:trHeight w:val="180"/>
        </w:trPr>
        <w:tc>
          <w:tcPr>
            <w:tcW w:w="52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84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8"/>
              </w:rPr>
              <w:t>Contractual Term (in</w:t>
            </w:r>
          </w:p>
        </w:tc>
        <w:tc>
          <w:tcPr>
            <w:tcW w:w="120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Intrinsic Value</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Outstanding</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Exercise Price</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years)</w:t>
            </w:r>
          </w:p>
        </w:tc>
        <w:tc>
          <w:tcPr>
            <w:tcW w:w="180" w:type="dxa"/>
            <w:vAlign w:val="bottom"/>
          </w:tcPr>
          <w:p>
            <w:pPr>
              <w:spacing w:after="0"/>
              <w:rPr>
                <w:sz w:val="19"/>
                <w:szCs w:val="19"/>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 Canceled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March 31, 2022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5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March 31, 2022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right="120" w:firstLine="8"/>
        <w:spacing w:after="0" w:line="266"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represents the total pre-tax intrinsic value, based on our closing stock price of $21.52 as of March 31, 2022, which would have been received by the option holders had all option holders exercised their options as of that date. The intrinsic value of an option is the amount by which the fair value of the underlying stock exceeds its exercise price.</w:t>
      </w:r>
    </w:p>
    <w:p>
      <w:pPr>
        <w:spacing w:after="0" w:line="13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total intrinsic value of all options exercised during the six months ended March 31, 2022 was $13.9 million and during the six months ended March 31, 2021 was $5.1 million.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weighted average fair value, which was determined based upon the fair value of each option on the grant date utilizing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Black-Scholes option-pricing model and the related assumptions: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328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color w:val="auto"/>
              </w:rPr>
              <w:t>Six months ended March 31,</w:t>
            </w:r>
          </w:p>
        </w:tc>
      </w:tr>
      <w:tr>
        <w:trPr>
          <w:trHeight w:val="223"/>
        </w:trPr>
        <w:tc>
          <w:tcPr>
            <w:tcW w:w="79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2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per option grant date fair value</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$7.42</w:t>
            </w:r>
          </w:p>
        </w:tc>
      </w:tr>
      <w:tr>
        <w:trPr>
          <w:trHeight w:val="23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Assumptions used for option grants:</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Risk free interest rate</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 - 1.82%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0.51% - 0.66%</w:t>
            </w:r>
          </w:p>
        </w:tc>
      </w:tr>
      <w:tr>
        <w:trPr>
          <w:trHeight w:val="230"/>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Expected term</w:t>
            </w:r>
          </w:p>
        </w:tc>
        <w:tc>
          <w:tcPr>
            <w:tcW w:w="1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6.00 years</w:t>
            </w:r>
          </w:p>
        </w:tc>
        <w:tc>
          <w:tcPr>
            <w:tcW w:w="1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6.00 years</w:t>
            </w: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Expected volatility</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45% - 46%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 - 45%</w:t>
            </w:r>
          </w:p>
        </w:tc>
      </w:tr>
      <w:tr>
        <w:trPr>
          <w:trHeight w:val="230"/>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volatility</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46%</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44%</w:t>
            </w:r>
          </w:p>
        </w:tc>
      </w:tr>
      <w:tr>
        <w:trPr>
          <w:trHeight w:val="22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7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STOCK-BASED COMPENSATION (CONTINUED)</w:t>
      </w:r>
    </w:p>
    <w:p>
      <w:pPr>
        <w:spacing w:after="0" w:line="19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fair value of each option award granted during the periods presented was estimated using the Black-Scholes option valuation model that uses the assumptions noted in the above table. Expected volatilities are based on the historical volatility of our stock. We use historical data to estimate option exercise and employee termination information within the valuation model. The expected term of options granted is derived from the vesting period and historical information and represents the period of time that options granted are expected to be outstanding. The risk-free rate used is the zero-coupon U.S. Treasury bond rate in effect at the time of the grant whose maturity equals the expected term of the option.</w:t>
      </w:r>
    </w:p>
    <w:p>
      <w:pPr>
        <w:spacing w:after="0" w:line="14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March 31, 2022, the total unrecognized compensation cost related to non-vested stock options was $8.7 million and the related weighted average period over which it is expected to be recognized is approximately 1.8 years.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Non-vested Stock Units</w:t>
      </w:r>
    </w:p>
    <w:p>
      <w:pPr>
        <w:spacing w:after="0" w:line="20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non-vested restricted stock and performance stock units as of March 31, 2022 and changes during the six months then ended (in thousands, except per common share amounts):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RSUs</w:t>
            </w:r>
          </w:p>
        </w:tc>
        <w:tc>
          <w:tcPr>
            <w:tcW w:w="1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PSUs</w:t>
            </w:r>
          </w:p>
        </w:tc>
        <w:tc>
          <w:tcPr>
            <w:tcW w:w="1560" w:type="dxa"/>
            <w:vAlign w:val="bottom"/>
            <w:tcBorders>
              <w:bottom w:val="single" w:sz="8" w:color="auto"/>
            </w:tcBorders>
          </w:tcPr>
          <w:p>
            <w:pPr>
              <w:spacing w:after="0"/>
              <w:rPr>
                <w:sz w:val="20"/>
                <w:szCs w:val="20"/>
                <w:color w:val="auto"/>
              </w:rPr>
            </w:pPr>
          </w:p>
        </w:tc>
      </w:tr>
      <w:tr>
        <w:trPr>
          <w:trHeight w:val="178"/>
        </w:trPr>
        <w:tc>
          <w:tcPr>
            <w:tcW w:w="3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8"/>
                <w:szCs w:val="18"/>
                <w:color w:val="auto"/>
                <w:w w:val="98"/>
              </w:rPr>
              <w:t>Weighted Average Grant</w:t>
            </w: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8"/>
                <w:szCs w:val="18"/>
                <w:color w:val="auto"/>
              </w:rPr>
              <w:t>Weighted Average Grant</w:t>
            </w:r>
          </w:p>
        </w:tc>
      </w:tr>
      <w:tr>
        <w:trPr>
          <w:trHeight w:val="234"/>
        </w:trPr>
        <w:tc>
          <w:tcPr>
            <w:tcW w:w="39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Number of Awards</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Date Fair Value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Number of Awards</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7"/>
              </w:rPr>
              <w:t>Date Fair Value</w:t>
            </w:r>
          </w:p>
        </w:tc>
      </w:tr>
      <w:tr>
        <w:trPr>
          <w:trHeight w:val="223"/>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September 30, 2021</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r>
      <w:tr>
        <w:trPr>
          <w:trHeight w:val="229"/>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March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March 31, 2022, the total unrecognized compensation cost related to non-vested stock units was $12.8 million. The related weighted average period over which this cost is expected to be recognized is approximately 1.7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management's discussion and analysis should be read in conjunction with our Annual Report on Form 10-K for the fiscal year ended September 30, 2021, as well as our subsequent reports on Form 10-Q and Form 8-K and any amendments to these reports.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Form 10-Q contains certain statements that are "forward-looking statements" as that term is defined under the Private Securities Litigation Reform Act of 1995, and within the meaning of Section 27A of the Securities Act of 1933, as amended, and Section 21E of the Securities Exchange Act of 1934, as amended.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8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This discussion contains “forward-looking statements” within the meaning of the Private Securities Litigation Reform Act of 1995. All statements, other than statements of historical fact are forward-looking statements. Words such as "assume," "believe," "anticipate," "intend," "estimate," "target," "may," "will," "expect," "plan," "potential," "project," "should," or "continue" or the negative thereof or other expressions, which are predictions of or indicate future events and trends and which do not relate to historical matters, identify forward-looking statements. Among other items, these statements relate to expectations of the business environment in which Digi operates, projections of future performance, perceived marketplace opportunities and statements regarding our mission and vision. Such statements are not guarantees of future performance and involve certain risks, uncertainties and assumptions. Among others, these include risks related to the ongoing COVID-19 pandemic and efforts to mitigate the same, risks related to the global economic downturn that commenced during the COVID-19 pandemic and the ability of companies like us to operate a global business in such conditions, risks arising from the present war in Ukraine, the impacts of the present global supply chain and transportation difficulties affecting business globally, the highly competitive market in which our company operates, rapid changes in technologies that may displace products sold by us, declining prices of networking products, our reliance on distributors and other third parties to sell our products, the potential for significant purchase orders to be canceled or changed, delays in product development efforts, uncertainty in user acceptance of our products, the ability to integrate our products and services with those of other parties in a commercially accepted manner, potential liabilities that can arise if any of our products have design or manufacturing defects, our ability to integrate and realize the expected benefits of acquisitions such as our recently completed acquisition of Ventus, our ability to defend or settle satisfactorily any litigation, uncertainty in global economic conditions and economic conditions within particular regions of the world which could negatively affect product demand and the financial solvency of customers and suppliers, the impact of natural disasters and other events beyond our control that could negatively impact our supply chain and customers, potential unintended consequences associated with restructuring, reorganizations or other similar business initiatives that may impact our ability to retain important employees or otherwise impact our operations in unintended and adverse ways, the ability to achieve the anticipated benefits and synergies associated with acquisitions or divestitures and changes in our level of revenue or profitability which can fluctuate for many reasons beyond our control.</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These and other risks, uncertainties and assumptions identified from time to time in our filings with the United States Securities and Exchange Commission, including without limitation, our Annual Report on Form 10-K for the year ended September 30, 2021, this filing on Form 10-Q and other filings, could cause our actual results to differ materially from those expressed in any forward-looking statements made by us or on our behalf. Many of such factors are beyond our ability to control or predict. These forward-looking statements speak only as of the date for which they are made. We disclaim any intent or obligation to update any forward-looking statements, whether as a result of new information, future events or otherwise.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ACCOUNTING POLICIES AND ESTIMATES</w:t>
      </w:r>
    </w:p>
    <w:p>
      <w:pPr>
        <w:spacing w:after="0" w:line="18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condensed consolidated financial statements, which have been prepared in accordance with accounting principles generally accepted in the United States of America. The preparation of our condensed consolidated financial statements requires us to make estimates and judgments that affect the reported amounts of assets, liabilities, revenues and expenses, the disclosure of contingent assets and liabilities and the values of purchased assets and assumed liabilities in acquisitions.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description of our critical accounting policies and estimates was provided in the Management's Discussion and Analysis of Financial Condition and Results of Operations section of our Annual Report on Form 10-K for the fiscal year ended September 30, 2021.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right="460"/>
        <w:spacing w:after="0" w:line="254" w:lineRule="auto"/>
        <w:rPr>
          <w:sz w:val="20"/>
          <w:szCs w:val="20"/>
          <w:color w:val="auto"/>
        </w:rPr>
      </w:pPr>
      <w:r>
        <w:rPr>
          <w:rFonts w:ascii="Times New Roman" w:cs="Times New Roman" w:eastAsia="Times New Roman" w:hAnsi="Times New Roman"/>
          <w:sz w:val="18"/>
          <w:szCs w:val="18"/>
          <w:color w:val="auto"/>
        </w:rPr>
        <w:t>We are a leading global provider of business and mission-critical IoT connectivity products, services and solutions. Our business is comprised of two reporting segments: IoT Products &amp; Services and IoT Solutions.</w:t>
      </w:r>
    </w:p>
    <w:p>
      <w:pPr>
        <w:ind w:right="80"/>
        <w:spacing w:after="0" w:line="234" w:lineRule="auto"/>
        <w:rPr>
          <w:sz w:val="20"/>
          <w:szCs w:val="20"/>
          <w:color w:val="auto"/>
        </w:rPr>
      </w:pPr>
      <w:r>
        <w:rPr>
          <w:rFonts w:ascii="Times New Roman" w:cs="Times New Roman" w:eastAsia="Times New Roman" w:hAnsi="Times New Roman"/>
          <w:sz w:val="18"/>
          <w:szCs w:val="18"/>
          <w:color w:val="auto"/>
        </w:rPr>
        <w:t>Our IoT Products &amp; Services segment offers products and services that help original equipment manufacturers ("OEMs"), enterprise and government customers create and deploy, secure IoT connectivity solutions. From embedded and wireless modules to console servers as well as enterprise and industrial routers, we provide a wide variety of communication sub-assemblies and finished products to meet our customers' IoT communication requirements. In addition, this segment provides our customers with a device management platform and other professional services to enable customers to capture and manage data from devices connected to networks. In the past this segment has benefited from significant one-time project based deployments. During the pandemic we saw a decrease in proposals for such projects. Recently we have seen some resumption of opportunities to make these project based sales, most notably in the areas mass transit and smart cities. While there is no assurance we will be chosen for any such deployments, we view this renewed activity as a positive development for this segment. Demand generally has been strong for many products in this segment during fiscal 2022 and has driven record sales bookings and backlogs that we are constrained to meet at present because of supply chain challenges.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October 7, 2020, our Board of Directors approved a reorganization of our IoT Products &amp; Services business segment. The restructuring plan aligned the business segment's organization around product lines, each with a segment manager. Under this plan, we recorded charges of $1.0 million for employee termination charges and eliminated 19 employment positions primarily in the U.S. during the first half of fiscal 2021. We have grouped our products under the following categories: Cellular Routers, Console Servers, OEM Solutions and Infrastructure Management. Consequently, the measure of segment operating profit used by our chief operating decision maker ("CODM") changed. As a result, our disclosed measure of segment operating income has been updated. For further detail on segment performance, see the Revenue by Segment, Cost of Goods Sold and Gross Profit by Segment and Operating Income sections of this Item 2.</w:t>
      </w:r>
    </w:p>
    <w:p>
      <w:pPr>
        <w:spacing w:after="0" w:line="16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Our IoT Solutions segment primarily consists of our SmartSense by Digi® and Ventus operating segments. SmartSense offers wireless temperature and other condition-based monitoring services as well as employee task management services. These solutions are focused on the following vertical markets: food service, healthcare (primarily pharmacies and hospitals) and supply chain. We initially formed, expanded and enhanced our SmartSense by Digi business through four acquisitions. Our recent acquisition of Ventus makes us a leader in the provision of Managed Network-as-a-Service ("MNaaS") solutions that simplify the complexity of enterprise wide area network ("WAN") connectivity for our customers and provides us with a significant base of high margin subscription based recurring revenue. Ventus’s portfolio includes cellular wireless and fixed line WAN solutions for an array of connectivity applications in banking, healthcare, retail, gaming, hospitality and other sectors. Given our belief in the potential of this segment, we intend to make targeted investments in this segment designed to enhance its performance over time.</w:t>
      </w:r>
    </w:p>
    <w:p>
      <w:pPr>
        <w:spacing w:after="0" w:line="15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compete for customers on the basis of existing and planned product features, service and software application capabilities, company reputation, brand recognition, technical support, alliance relationships, quality and reliability, product development capabilities, price and availability.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2022, our key operating objectives include:</w:t>
      </w:r>
    </w:p>
    <w:p>
      <w:pPr>
        <w:spacing w:after="0" w:line="11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growth of our SmartSense by Digi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Ventus businesses that are the base of our IoT Solutions segment;</w:t>
      </w:r>
    </w:p>
    <w:p>
      <w:pPr>
        <w:spacing w:after="0" w:line="5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growth within our IoT Products &amp; Services segment through new product introductions;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our recently acquired Ventus business.</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utilize many financial, operational, and other metrics to evaluate our financial condition and financial performance. Below we highlight the metrics for the second quarter of fiscal 2022 that we feel are most important in these evaluations, with comparisons to the second quarter of fiscal 2021:</w:t>
      </w:r>
    </w:p>
    <w:p>
      <w:pPr>
        <w:spacing w:after="0" w:line="5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 was $94.7 million, an increase of 23%.</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gross profit was $52.0 million, an increase of 28%.</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operating income was $7.6 million, an increase of 124%.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3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Net income was $2.8 million, a decrease of 3%.</w:t>
      </w:r>
    </w:p>
    <w:p>
      <w:pPr>
        <w:spacing w:after="0" w:line="11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was $0.08, compared to $0.09.</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Adjusted EBITDA was $19.5 million, or 20.6% of total revenue, compared to $11.7 million, or 15.1%.</w:t>
      </w:r>
    </w:p>
    <w:p>
      <w:pPr>
        <w:spacing w:after="0" w:line="117" w:lineRule="exact"/>
        <w:rPr>
          <w:rFonts w:ascii="Times New Roman" w:cs="Times New Roman" w:eastAsia="Times New Roman" w:hAnsi="Times New Roman"/>
          <w:sz w:val="18"/>
          <w:szCs w:val="18"/>
          <w:i w:val="1"/>
          <w:iCs w:val="1"/>
          <w:color w:val="auto"/>
        </w:rPr>
      </w:pPr>
    </w:p>
    <w:p>
      <w:pPr>
        <w:ind w:left="660" w:right="4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and adjusted net income per share was $14.5 million, or $0.41 per diluted share, compared to $8.6 million, or $0.27 per diluted share, an increase of 52%.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Events Impacting Second Quarter Results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Ventus</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On November 1, 2021, we acquired Ventus for approximately $350 million in cash. The acquisition was funded through a combination of cash on hand and debt financing under an amended and restated credit facility committed by BMO Harris Bank N.A (see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In the first quarter of fiscal 2022, the preliminary purchase price allocation was recorded, including related determinations of fair value and income tax implications. As a result, we recorded $117 million of goodwill and $211 million of other intangibles on our condensed consolidated balance sheets. The results of operations following the acquisition date are now included in our first and second fiscal quarters 2022 results within our IoT Solutions segment.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selected information derived from our interim condensed consolidated statements of operations: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7"/>
          </w:tcPr>
          <w:p>
            <w:pPr>
              <w:jc w:val="right"/>
              <w:ind w:right="36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 incr.</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color w:val="auto"/>
              </w:rPr>
              <w:t>Six months ended March 31,</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 incr.</w:t>
            </w:r>
          </w:p>
        </w:tc>
        <w:tc>
          <w:tcPr>
            <w:tcW w:w="0" w:type="dxa"/>
            <w:vAlign w:val="bottom"/>
          </w:tcPr>
          <w:p>
            <w:pPr>
              <w:spacing w:after="0"/>
              <w:rPr>
                <w:sz w:val="1"/>
                <w:szCs w:val="1"/>
                <w:color w:val="auto"/>
              </w:rPr>
            </w:pPr>
          </w:p>
        </w:tc>
      </w:tr>
      <w:tr>
        <w:trPr>
          <w:trHeight w:val="23"/>
        </w:trPr>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(decr.)</w:t>
            </w: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(decr.)</w:t>
            </w:r>
          </w:p>
        </w:tc>
        <w:tc>
          <w:tcPr>
            <w:tcW w:w="0" w:type="dxa"/>
            <w:vAlign w:val="bottom"/>
          </w:tcPr>
          <w:p>
            <w:pPr>
              <w:spacing w:after="0"/>
              <w:rPr>
                <w:sz w:val="1"/>
                <w:szCs w:val="1"/>
                <w:color w:val="auto"/>
              </w:rPr>
            </w:pPr>
          </w:p>
        </w:tc>
      </w:tr>
      <w:tr>
        <w:trPr>
          <w:trHeight w:val="189"/>
        </w:trPr>
        <w:tc>
          <w:tcPr>
            <w:tcW w:w="13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2022</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2021</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2022</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2021</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94,713</w:t>
            </w:r>
          </w:p>
        </w:tc>
        <w:tc>
          <w:tcPr>
            <w:tcW w:w="1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77,301</w:t>
            </w: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22.5 %</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178,970</w:t>
            </w: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150,447</w:t>
            </w:r>
          </w:p>
        </w:tc>
        <w:tc>
          <w:tcPr>
            <w:tcW w:w="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19.0 %</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42,729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36,844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47.7</w:t>
            </w:r>
          </w:p>
        </w:tc>
        <w:tc>
          <w:tcPr>
            <w:tcW w:w="1020" w:type="dxa"/>
            <w:vAlign w:val="bottom"/>
            <w:tcBorders>
              <w:bottom w:val="single" w:sz="8" w:color="CCEEFF"/>
            </w:tcBorders>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79,105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44.2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68,971</w:t>
            </w: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45.8</w:t>
            </w:r>
          </w:p>
        </w:tc>
        <w:tc>
          <w:tcPr>
            <w:tcW w:w="1040" w:type="dxa"/>
            <w:vAlign w:val="bottom"/>
            <w:tcBorders>
              <w:bottom w:val="single" w:sz="8" w:color="CCEEFF"/>
            </w:tcBorders>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203"/>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51,984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54.9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40,457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52.3</w:t>
            </w:r>
          </w:p>
        </w:tc>
        <w:tc>
          <w:tcPr>
            <w:tcW w:w="10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99,865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55.8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81,476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54.2</w:t>
            </w:r>
          </w:p>
        </w:tc>
        <w:tc>
          <w:tcPr>
            <w:tcW w:w="10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44,420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46.9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37,087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48.0</w:t>
            </w:r>
          </w:p>
        </w:tc>
        <w:tc>
          <w:tcPr>
            <w:tcW w:w="1020" w:type="dxa"/>
            <w:vAlign w:val="bottom"/>
            <w:tcBorders>
              <w:bottom w:val="single" w:sz="8" w:color="CCEEFF"/>
            </w:tcBorders>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88,502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49.5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78,252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52.0</w:t>
            </w:r>
          </w:p>
        </w:tc>
        <w:tc>
          <w:tcPr>
            <w:tcW w:w="1040" w:type="dxa"/>
            <w:vAlign w:val="bottom"/>
            <w:tcBorders>
              <w:bottom w:val="single" w:sz="8" w:color="CCEEFF"/>
            </w:tcBorders>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203"/>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3,370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4.4</w:t>
            </w:r>
          </w:p>
        </w:tc>
        <w:tc>
          <w:tcPr>
            <w:tcW w:w="10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124.5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w:t>
            </w:r>
          </w:p>
        </w:tc>
        <w:tc>
          <w:tcPr>
            <w:tcW w:w="10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252.5</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expense, net</w:t>
            </w: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(4,324)</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4"/>
                <w:szCs w:val="14"/>
                <w:color w:val="auto"/>
              </w:rPr>
              <w:t>NM</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(9,324)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(762)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26"/>
        </w:trPr>
        <w:tc>
          <w:tcPr>
            <w:tcW w:w="138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Income before income</w:t>
            </w:r>
          </w:p>
        </w:tc>
        <w:tc>
          <w:tcPr>
            <w:tcW w:w="24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w:t>
            </w: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3,202</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4.1</w:t>
            </w:r>
          </w:p>
        </w:tc>
        <w:tc>
          <w:tcPr>
            <w:tcW w:w="1020" w:type="dxa"/>
            <w:vAlign w:val="bottom"/>
            <w:gridSpan w:val="2"/>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2,462</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w:t>
            </w:r>
          </w:p>
        </w:tc>
        <w:tc>
          <w:tcPr>
            <w:tcW w:w="104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198"/>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taxes</w:t>
            </w:r>
          </w:p>
        </w:tc>
        <w:tc>
          <w:tcPr>
            <w:tcW w:w="2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3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Income tax expense</w:t>
            </w:r>
          </w:p>
        </w:tc>
        <w:tc>
          <w:tcPr>
            <w:tcW w:w="2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0.4</w:t>
            </w:r>
          </w:p>
        </w:tc>
        <w:tc>
          <w:tcPr>
            <w:tcW w:w="102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(1,995)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(159)</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3"/>
        </w:trPr>
        <w:tc>
          <w:tcPr>
            <w:tcW w:w="1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(benefit)</w:t>
            </w: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CCEEFF"/>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2,928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10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53.9</w:t>
            </w:r>
          </w:p>
        </w:tc>
        <w:tc>
          <w:tcPr>
            <w:tcW w:w="0" w:type="dxa"/>
            <w:vAlign w:val="bottom"/>
          </w:tcPr>
          <w:p>
            <w:pPr>
              <w:spacing w:after="0"/>
              <w:rPr>
                <w:sz w:val="1"/>
                <w:szCs w:val="1"/>
                <w:color w:val="auto"/>
              </w:rPr>
            </w:pP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SEGMENT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7"/>
          </w:tcPr>
          <w:p>
            <w:pPr>
              <w:jc w:val="right"/>
              <w:ind w:right="28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 incr.</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gridSpan w:val="7"/>
          </w:tcPr>
          <w:p>
            <w:pPr>
              <w:jc w:val="right"/>
              <w:ind w:right="948"/>
              <w:spacing w:after="0"/>
              <w:rPr>
                <w:sz w:val="20"/>
                <w:szCs w:val="20"/>
                <w:color w:val="auto"/>
              </w:rPr>
            </w:pPr>
            <w:r>
              <w:rPr>
                <w:rFonts w:ascii="Times New Roman" w:cs="Times New Roman" w:eastAsia="Times New Roman" w:hAnsi="Times New Roman"/>
                <w:sz w:val="14"/>
                <w:szCs w:val="14"/>
                <w:color w:val="auto"/>
              </w:rPr>
              <w:t>Six months ended March 31,</w:t>
            </w:r>
          </w:p>
        </w:tc>
        <w:tc>
          <w:tcPr>
            <w:tcW w:w="10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 incr.</w:t>
            </w:r>
          </w:p>
        </w:tc>
        <w:tc>
          <w:tcPr>
            <w:tcW w:w="0" w:type="dxa"/>
            <w:vAlign w:val="bottom"/>
          </w:tcPr>
          <w:p>
            <w:pPr>
              <w:spacing w:after="0"/>
              <w:rPr>
                <w:sz w:val="1"/>
                <w:szCs w:val="1"/>
                <w:color w:val="auto"/>
              </w:rPr>
            </w:pPr>
          </w:p>
        </w:tc>
      </w:tr>
      <w:tr>
        <w:trPr>
          <w:trHeight w:val="23"/>
        </w:trPr>
        <w:tc>
          <w:tcPr>
            <w:tcW w:w="2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(decr.)</w:t>
            </w: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(decr.)</w:t>
            </w:r>
          </w:p>
        </w:tc>
        <w:tc>
          <w:tcPr>
            <w:tcW w:w="0" w:type="dxa"/>
            <w:vAlign w:val="bottom"/>
          </w:tcPr>
          <w:p>
            <w:pPr>
              <w:spacing w:after="0"/>
              <w:rPr>
                <w:sz w:val="1"/>
                <w:szCs w:val="1"/>
                <w:color w:val="auto"/>
              </w:rPr>
            </w:pPr>
          </w:p>
        </w:tc>
      </w:tr>
      <w:tr>
        <w:trPr>
          <w:trHeight w:val="190"/>
        </w:trPr>
        <w:tc>
          <w:tcPr>
            <w:tcW w:w="2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2022</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2021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gridSpan w:val="3"/>
          </w:tcPr>
          <w:p>
            <w:pPr>
              <w:jc w:val="right"/>
              <w:ind w:right="688"/>
              <w:spacing w:after="0"/>
              <w:rPr>
                <w:sz w:val="20"/>
                <w:szCs w:val="20"/>
                <w:color w:val="auto"/>
              </w:rPr>
            </w:pPr>
            <w:r>
              <w:rPr>
                <w:rFonts w:ascii="Times New Roman" w:cs="Times New Roman" w:eastAsia="Times New Roman" w:hAnsi="Times New Roman"/>
                <w:sz w:val="14"/>
                <w:szCs w:val="14"/>
                <w:color w:val="auto"/>
                <w:w w:val="99"/>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gridSpan w:val="3"/>
          </w:tcPr>
          <w:p>
            <w:pPr>
              <w:jc w:val="right"/>
              <w:ind w:right="688"/>
              <w:spacing w:after="0"/>
              <w:rPr>
                <w:sz w:val="20"/>
                <w:szCs w:val="20"/>
                <w:color w:val="auto"/>
              </w:rPr>
            </w:pPr>
            <w:r>
              <w:rPr>
                <w:rFonts w:ascii="Times New Roman" w:cs="Times New Roman" w:eastAsia="Times New Roman" w:hAnsi="Times New Roman"/>
                <w:sz w:val="14"/>
                <w:szCs w:val="14"/>
                <w:color w:val="auto"/>
                <w:w w:val="99"/>
              </w:rPr>
              <w:t>2021</w:t>
            </w: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IoT Products &amp; Services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71,370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75.4 %</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65,632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137,114</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76.6 %</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127,412</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84.7 %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1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IoT Solutions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15.1</w:t>
            </w: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41,856</w:t>
            </w:r>
          </w:p>
        </w:tc>
        <w:tc>
          <w:tcPr>
            <w:tcW w:w="106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23,035</w:t>
            </w:r>
          </w:p>
        </w:tc>
        <w:tc>
          <w:tcPr>
            <w:tcW w:w="106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0" w:type="dxa"/>
            <w:vAlign w:val="bottom"/>
          </w:tcPr>
          <w:p>
            <w:pPr>
              <w:spacing w:after="0"/>
              <w:rPr>
                <w:sz w:val="1"/>
                <w:szCs w:val="1"/>
                <w:color w:val="auto"/>
              </w:rPr>
            </w:pPr>
          </w:p>
        </w:tc>
      </w:tr>
      <w:tr>
        <w:trPr>
          <w:trHeight w:val="196"/>
        </w:trPr>
        <w:tc>
          <w:tcPr>
            <w:tcW w:w="2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revenue</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94,713</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77,301</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22.5 %</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178,970</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150,447</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Products &amp; Services</w:t>
      </w:r>
    </w:p>
    <w:p>
      <w:pPr>
        <w:spacing w:after="0" w:line="18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IoT Products &amp; Services revenue increased 8.7% and 7.6% for the three and six months ended March 31, 2022, respectively, as compared to the same periods in the prior fiscal year. This primarily was a result of:</w:t>
      </w:r>
    </w:p>
    <w:p>
      <w:pPr>
        <w:spacing w:after="0" w:line="5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of console server and cellular products driven by demand for data center and edge based deployments.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increase was partially offset by:</w:t>
      </w:r>
    </w:p>
    <w:p>
      <w:pPr>
        <w:spacing w:after="0" w:line="117" w:lineRule="exact"/>
        <w:rPr>
          <w:sz w:val="20"/>
          <w:szCs w:val="20"/>
          <w:color w:val="auto"/>
        </w:rPr>
      </w:pPr>
    </w:p>
    <w:p>
      <w:pPr>
        <w:ind w:left="5540" w:right="4260" w:hanging="5208"/>
        <w:spacing w:after="0" w:line="970" w:lineRule="auto"/>
        <w:tabs>
          <w:tab w:leader="none" w:pos="6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of certain embedded products, most notably in the second fiscal quarter.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2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Solutions</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IoT Solutions revenue increased 100.0% and 81.7% for the three and six months ended March 31, 2022, respectively, as compared to the same periods in the prior fiscal year. This primarily was a result of:</w:t>
      </w:r>
    </w:p>
    <w:p>
      <w:pPr>
        <w:spacing w:after="0" w:line="54"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increased recurring revenue from our November 2021 acquisition of Ventus and</w:t>
      </w:r>
    </w:p>
    <w:p>
      <w:pPr>
        <w:spacing w:after="0" w:line="117" w:lineRule="exact"/>
        <w:rPr>
          <w:rFonts w:ascii="Times New Roman" w:cs="Times New Roman" w:eastAsia="Times New Roman" w:hAnsi="Times New Roman"/>
          <w:sz w:val="18"/>
          <w:szCs w:val="18"/>
          <w:b w:val="1"/>
          <w:bCs w:val="1"/>
          <w:i w:val="1"/>
          <w:iCs w:val="1"/>
          <w:color w:val="auto"/>
        </w:rPr>
      </w:pPr>
    </w:p>
    <w:p>
      <w:pPr>
        <w:ind w:left="660" w:right="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organic sales growth across the Solutions business, resulting in an increase of nearly 10,000 additional sites served with noted strength in the areas of gaming, healthcare and point of sale.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increases were partially offset by:</w:t>
      </w:r>
    </w:p>
    <w:p>
      <w:pPr>
        <w:spacing w:after="0" w:line="117"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customer implementation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GOODS SOLD AND GROSS PROFIT BY SEGMENT</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1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9"/>
          </w:tcPr>
          <w:p>
            <w:pPr>
              <w:jc w:val="center"/>
              <w:ind w:right="14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Basis point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gridSpan w:val="9"/>
          </w:tcPr>
          <w:p>
            <w:pPr>
              <w:jc w:val="right"/>
              <w:ind w:right="420"/>
              <w:spacing w:after="0"/>
              <w:rPr>
                <w:sz w:val="20"/>
                <w:szCs w:val="20"/>
                <w:color w:val="auto"/>
              </w:rPr>
            </w:pPr>
            <w:r>
              <w:rPr>
                <w:rFonts w:ascii="Times New Roman" w:cs="Times New Roman" w:eastAsia="Times New Roman" w:hAnsi="Times New Roman"/>
                <w:sz w:val="14"/>
                <w:szCs w:val="14"/>
                <w:color w:val="auto"/>
              </w:rPr>
              <w:t>Six months ended March 31,</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Basis point</w:t>
            </w:r>
          </w:p>
        </w:tc>
        <w:tc>
          <w:tcPr>
            <w:tcW w:w="0" w:type="dxa"/>
            <w:vAlign w:val="bottom"/>
          </w:tcPr>
          <w:p>
            <w:pPr>
              <w:spacing w:after="0"/>
              <w:rPr>
                <w:sz w:val="1"/>
                <w:szCs w:val="1"/>
                <w:color w:val="auto"/>
              </w:rPr>
            </w:pPr>
          </w:p>
        </w:tc>
      </w:tr>
      <w:tr>
        <w:trPr>
          <w:trHeight w:val="23"/>
        </w:trPr>
        <w:tc>
          <w:tcPr>
            <w:tcW w:w="1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inc. (decr.)</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inc. (decr.)</w:t>
            </w:r>
          </w:p>
        </w:tc>
        <w:tc>
          <w:tcPr>
            <w:tcW w:w="0" w:type="dxa"/>
            <w:vAlign w:val="bottom"/>
          </w:tcPr>
          <w:p>
            <w:pPr>
              <w:spacing w:after="0"/>
              <w:rPr>
                <w:sz w:val="1"/>
                <w:szCs w:val="1"/>
                <w:color w:val="auto"/>
              </w:rPr>
            </w:pPr>
          </w:p>
        </w:tc>
      </w:tr>
      <w:tr>
        <w:trPr>
          <w:trHeight w:val="190"/>
        </w:trPr>
        <w:tc>
          <w:tcPr>
            <w:tcW w:w="18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2022</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2022</w:t>
            </w:r>
          </w:p>
        </w:tc>
        <w:tc>
          <w:tcPr>
            <w:tcW w:w="5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2021</w:t>
            </w:r>
          </w:p>
        </w:tc>
        <w:tc>
          <w:tcPr>
            <w:tcW w:w="5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IoT Products &amp; Services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32,909</w:t>
            </w:r>
          </w:p>
        </w:tc>
        <w:tc>
          <w:tcPr>
            <w:tcW w:w="34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46.1 %</w:t>
            </w:r>
          </w:p>
        </w:tc>
        <w:tc>
          <w:tcPr>
            <w:tcW w:w="2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31,175</w:t>
            </w:r>
          </w:p>
        </w:tc>
        <w:tc>
          <w:tcPr>
            <w:tcW w:w="34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47.5 %</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(140)</w:t>
            </w:r>
          </w:p>
        </w:tc>
        <w:tc>
          <w:tcPr>
            <w:tcW w:w="28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62,978</w:t>
            </w:r>
          </w:p>
        </w:tc>
        <w:tc>
          <w:tcPr>
            <w:tcW w:w="38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45.9 %</w:t>
            </w:r>
          </w:p>
        </w:tc>
        <w:tc>
          <w:tcPr>
            <w:tcW w:w="30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57,276</w:t>
            </w: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45.0 %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10"/>
        </w:trPr>
        <w:tc>
          <w:tcPr>
            <w:tcW w:w="1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IoT Solutions</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9,820</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42.1 %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5,669</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48.6 %</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(650)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16,127</w:t>
            </w: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38.5 %</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11,695</w:t>
            </w:r>
          </w:p>
        </w:tc>
        <w:tc>
          <w:tcPr>
            <w:tcW w:w="40" w:type="dxa"/>
            <w:vAlign w:val="bottom"/>
            <w:tcBorders>
              <w:bottom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50.8 %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0" w:type="dxa"/>
            <w:vAlign w:val="bottom"/>
          </w:tcPr>
          <w:p>
            <w:pPr>
              <w:spacing w:after="0"/>
              <w:rPr>
                <w:sz w:val="1"/>
                <w:szCs w:val="1"/>
                <w:color w:val="auto"/>
              </w:rPr>
            </w:pPr>
          </w:p>
        </w:tc>
      </w:tr>
      <w:tr>
        <w:trPr>
          <w:trHeight w:val="196"/>
        </w:trPr>
        <w:tc>
          <w:tcPr>
            <w:tcW w:w="1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cost of goods sold</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42,729</w:t>
            </w:r>
          </w:p>
        </w:tc>
        <w:tc>
          <w:tcPr>
            <w:tcW w:w="34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45.1 %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36,844</w:t>
            </w:r>
          </w:p>
        </w:tc>
        <w:tc>
          <w:tcPr>
            <w:tcW w:w="34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47.7 %</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(260)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79,105</w:t>
            </w:r>
          </w:p>
        </w:tc>
        <w:tc>
          <w:tcPr>
            <w:tcW w:w="38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44.2 %</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68,971</w:t>
            </w:r>
          </w:p>
        </w:tc>
        <w:tc>
          <w:tcPr>
            <w:tcW w:w="4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45.8 %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20" w:type="dxa"/>
            <w:vAlign w:val="bottom"/>
            <w:gridSpan w:val="9"/>
          </w:tcPr>
          <w:p>
            <w:pPr>
              <w:jc w:val="right"/>
              <w:ind w:right="40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Basis point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gridSpan w:val="9"/>
          </w:tcPr>
          <w:p>
            <w:pPr>
              <w:jc w:val="right"/>
              <w:ind w:right="480"/>
              <w:spacing w:after="0"/>
              <w:rPr>
                <w:sz w:val="20"/>
                <w:szCs w:val="20"/>
                <w:color w:val="auto"/>
              </w:rPr>
            </w:pPr>
            <w:r>
              <w:rPr>
                <w:rFonts w:ascii="Times New Roman" w:cs="Times New Roman" w:eastAsia="Times New Roman" w:hAnsi="Times New Roman"/>
                <w:sz w:val="14"/>
                <w:szCs w:val="14"/>
                <w:color w:val="auto"/>
              </w:rPr>
              <w:t>Six months ended March 31,</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Basis point</w:t>
            </w:r>
          </w:p>
        </w:tc>
        <w:tc>
          <w:tcPr>
            <w:tcW w:w="0" w:type="dxa"/>
            <w:vAlign w:val="bottom"/>
          </w:tcPr>
          <w:p>
            <w:pPr>
              <w:spacing w:after="0"/>
              <w:rPr>
                <w:sz w:val="1"/>
                <w:szCs w:val="1"/>
                <w:color w:val="auto"/>
              </w:rPr>
            </w:pPr>
          </w:p>
        </w:tc>
      </w:tr>
      <w:tr>
        <w:trPr>
          <w:trHeight w:val="23"/>
        </w:trPr>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inc. (decr.)</w:t>
            </w: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inc. (decr.)</w:t>
            </w:r>
          </w:p>
        </w:tc>
        <w:tc>
          <w:tcPr>
            <w:tcW w:w="0" w:type="dxa"/>
            <w:vAlign w:val="bottom"/>
          </w:tcPr>
          <w:p>
            <w:pPr>
              <w:spacing w:after="0"/>
              <w:rPr>
                <w:sz w:val="1"/>
                <w:szCs w:val="1"/>
                <w:color w:val="auto"/>
              </w:rPr>
            </w:pPr>
          </w:p>
        </w:tc>
      </w:tr>
      <w:tr>
        <w:trPr>
          <w:trHeight w:val="190"/>
        </w:trPr>
        <w:tc>
          <w:tcPr>
            <w:tcW w:w="1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color w:val="auto"/>
              </w:rPr>
              <w:t>2022</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2022</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2021</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IoT Products &amp; Services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38,461</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53.9 %</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34,457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52.5 %</w:t>
            </w:r>
          </w:p>
        </w:tc>
        <w:tc>
          <w:tcPr>
            <w:tcW w:w="100" w:type="dxa"/>
            <w:vAlign w:val="bottom"/>
          </w:tcPr>
          <w:p>
            <w:pPr>
              <w:spacing w:after="0"/>
              <w:rPr>
                <w:sz w:val="16"/>
                <w:szCs w:val="16"/>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4"/>
                <w:szCs w:val="14"/>
                <w:color w:val="auto"/>
                <w:w w:val="95"/>
              </w:rPr>
              <w:t>140</w:t>
            </w:r>
          </w:p>
        </w:tc>
        <w:tc>
          <w:tcPr>
            <w:tcW w:w="100" w:type="dxa"/>
            <w:vAlign w:val="bottom"/>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74,136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54.1 %</w:t>
            </w:r>
          </w:p>
        </w:tc>
        <w:tc>
          <w:tcPr>
            <w:tcW w:w="60" w:type="dxa"/>
            <w:vAlign w:val="bottom"/>
          </w:tcPr>
          <w:p>
            <w:pPr>
              <w:spacing w:after="0"/>
              <w:rPr>
                <w:sz w:val="16"/>
                <w:szCs w:val="16"/>
                <w:color w:val="auto"/>
              </w:rPr>
            </w:pPr>
          </w:p>
        </w:tc>
        <w:tc>
          <w:tcPr>
            <w:tcW w:w="30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70,136</w:t>
            </w: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55.0 %</w:t>
            </w:r>
          </w:p>
        </w:tc>
        <w:tc>
          <w:tcPr>
            <w:tcW w:w="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10"/>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IoT Solutions</w:t>
            </w: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57.9 %</w:t>
            </w: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w w:val="95"/>
              </w:rPr>
              <w:t>650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61.5 %</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49.2 %</w:t>
            </w: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0" w:type="dxa"/>
            <w:vAlign w:val="bottom"/>
          </w:tcPr>
          <w:p>
            <w:pPr>
              <w:spacing w:after="0"/>
              <w:rPr>
                <w:sz w:val="1"/>
                <w:szCs w:val="1"/>
                <w:color w:val="auto"/>
              </w:rPr>
            </w:pPr>
          </w:p>
        </w:tc>
      </w:tr>
      <w:tr>
        <w:trPr>
          <w:trHeight w:val="196"/>
        </w:trPr>
        <w:tc>
          <w:tcPr>
            <w:tcW w:w="1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gross profit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51,984</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54.9 %</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40,457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52.3 %</w:t>
            </w:r>
          </w:p>
        </w:tc>
        <w:tc>
          <w:tcPr>
            <w:tcW w:w="100" w:type="dxa"/>
            <w:vAlign w:val="bottom"/>
          </w:tcPr>
          <w:p>
            <w:pPr>
              <w:spacing w:after="0"/>
              <w:rPr>
                <w:sz w:val="17"/>
                <w:szCs w:val="17"/>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4"/>
                <w:szCs w:val="14"/>
                <w:color w:val="auto"/>
                <w:w w:val="95"/>
              </w:rPr>
              <w:t>260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99,865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55.8 %</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81,476</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54.2 %</w:t>
            </w:r>
          </w:p>
        </w:tc>
        <w:tc>
          <w:tcPr>
            <w:tcW w:w="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Product &amp; Services</w:t>
      </w:r>
    </w:p>
    <w:p>
      <w:pPr>
        <w:spacing w:after="0" w:line="18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IoT Products &amp; Services gross profit margin increased 140 basis points for the three months ended March 31, 2022 as compared to the same period in the prior fiscal year. This increase primarily was a result of:</w:t>
      </w:r>
    </w:p>
    <w:p>
      <w:pPr>
        <w:spacing w:after="0" w:line="54"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product and customer mix, partially offset by increased production and distribution costs due to the continuing supply chain challenges.</w:t>
      </w:r>
    </w:p>
    <w:p>
      <w:pPr>
        <w:spacing w:after="0" w:line="21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IoT Products &amp; Services gross profit margin decreased 90 basis points for the six months ended March 31, 2022 as compared to the same period in the prior fiscal year. This decrease primarily was a result of:</w:t>
      </w:r>
    </w:p>
    <w:p>
      <w:pPr>
        <w:spacing w:after="0" w:line="54"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and customer mix, as well as increased production and distribution costs due to the continuing supply chain challenges.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Solutions</w:t>
      </w:r>
    </w:p>
    <w:p>
      <w:pPr>
        <w:spacing w:after="0" w:line="18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IoT Solutions gross profit margin increased 650 basis points for the three months ended March 31, 2022 as compared to the same periods in the prior fiscal year. This increase primarily was a result of:</w:t>
      </w:r>
    </w:p>
    <w:p>
      <w:pPr>
        <w:spacing w:after="0" w:line="54"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recurring subscription revenue, including growth from the acquisition of Ventus, which typically has a high gross margin.</w:t>
      </w:r>
    </w:p>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IoT Solutions gross profit margin increased 1,230 basis points for the six months ended March 31, 2022 as compared to the same periods in the prior fiscal year. This increase primarily was a result of:</w:t>
      </w:r>
    </w:p>
    <w:p>
      <w:pPr>
        <w:spacing w:after="0" w:line="54" w:lineRule="exact"/>
        <w:rPr>
          <w:sz w:val="20"/>
          <w:szCs w:val="20"/>
          <w:color w:val="auto"/>
        </w:rPr>
      </w:pPr>
    </w:p>
    <w:p>
      <w:pPr>
        <w:jc w:val="center"/>
        <w:ind w:left="5540" w:right="1100" w:hanging="5208"/>
        <w:spacing w:after="0" w:line="970" w:lineRule="auto"/>
        <w:tabs>
          <w:tab w:leader="none" w:pos="65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recurring subscription revenue, including growth from the acquisition of Ventus, which typically has a high gross margin.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our operating expenses and operating expenses as a percentage of total revenue: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9"/>
          </w:tcPr>
          <w:p>
            <w:pPr>
              <w:jc w:val="right"/>
              <w:ind w:right="10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20" w:type="dxa"/>
            <w:vAlign w:val="bottom"/>
            <w:gridSpan w:val="7"/>
          </w:tcPr>
          <w:p>
            <w:pPr>
              <w:jc w:val="right"/>
              <w:ind w:right="200"/>
              <w:spacing w:after="0"/>
              <w:rPr>
                <w:sz w:val="20"/>
                <w:szCs w:val="20"/>
                <w:color w:val="auto"/>
              </w:rPr>
            </w:pPr>
            <w:r>
              <w:rPr>
                <w:rFonts w:ascii="Times New Roman" w:cs="Times New Roman" w:eastAsia="Times New Roman" w:hAnsi="Times New Roman"/>
                <w:sz w:val="14"/>
                <w:szCs w:val="14"/>
                <w:color w:val="auto"/>
              </w:rPr>
              <w:t>Six months ended March 31,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vMerge w:val="restart"/>
          </w:tcPr>
          <w:p>
            <w:pPr>
              <w:jc w:val="center"/>
              <w:ind w:right="48"/>
              <w:spacing w:after="0" w:line="159" w:lineRule="exact"/>
              <w:rPr>
                <w:sz w:val="20"/>
                <w:szCs w:val="20"/>
                <w:color w:val="auto"/>
              </w:rPr>
            </w:pPr>
            <w:r>
              <w:rPr>
                <w:rFonts w:ascii="Times New Roman" w:cs="Times New Roman" w:eastAsia="Times New Roman" w:hAnsi="Times New Roman"/>
                <w:sz w:val="14"/>
                <w:szCs w:val="14"/>
                <w:color w:val="auto"/>
                <w:w w:val="94"/>
              </w:rPr>
              <w:t>incr.</w:t>
            </w:r>
          </w:p>
        </w:tc>
        <w:tc>
          <w:tcPr>
            <w:tcW w:w="100" w:type="dxa"/>
            <w:vAlign w:val="bottom"/>
          </w:tcPr>
          <w:p>
            <w:pPr>
              <w:spacing w:after="0"/>
              <w:rPr>
                <w:sz w:val="2"/>
                <w:szCs w:val="2"/>
                <w:color w:val="auto"/>
              </w:rPr>
            </w:pPr>
          </w:p>
        </w:tc>
        <w:tc>
          <w:tcPr>
            <w:tcW w:w="640" w:type="dxa"/>
            <w:vAlign w:val="bottom"/>
            <w:vMerge w:val="restart"/>
          </w:tcPr>
          <w:p>
            <w:pPr>
              <w:jc w:val="center"/>
              <w:spacing w:after="0" w:line="159" w:lineRule="exact"/>
              <w:rPr>
                <w:sz w:val="20"/>
                <w:szCs w:val="20"/>
                <w:color w:val="auto"/>
              </w:rPr>
            </w:pPr>
            <w:r>
              <w:rPr>
                <w:rFonts w:ascii="Times New Roman" w:cs="Times New Roman" w:eastAsia="Times New Roman" w:hAnsi="Times New Roman"/>
                <w:sz w:val="14"/>
                <w:szCs w:val="14"/>
                <w:color w:val="auto"/>
                <w:w w:val="94"/>
              </w:rPr>
              <w:t>incr.</w:t>
            </w: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restart"/>
          </w:tcPr>
          <w:p>
            <w:pPr>
              <w:jc w:val="center"/>
              <w:ind w:right="28"/>
              <w:spacing w:after="0" w:line="159" w:lineRule="exact"/>
              <w:rPr>
                <w:sz w:val="20"/>
                <w:szCs w:val="20"/>
                <w:color w:val="auto"/>
              </w:rPr>
            </w:pPr>
            <w:r>
              <w:rPr>
                <w:rFonts w:ascii="Times New Roman" w:cs="Times New Roman" w:eastAsia="Times New Roman" w:hAnsi="Times New Roman"/>
                <w:sz w:val="14"/>
                <w:szCs w:val="14"/>
                <w:color w:val="auto"/>
                <w:w w:val="94"/>
              </w:rPr>
              <w:t>incr.</w:t>
            </w:r>
          </w:p>
        </w:tc>
        <w:tc>
          <w:tcPr>
            <w:tcW w:w="120" w:type="dxa"/>
            <w:vAlign w:val="bottom"/>
          </w:tcPr>
          <w:p>
            <w:pPr>
              <w:spacing w:after="0"/>
              <w:rPr>
                <w:sz w:val="2"/>
                <w:szCs w:val="2"/>
                <w:color w:val="auto"/>
              </w:rPr>
            </w:pPr>
          </w:p>
        </w:tc>
        <w:tc>
          <w:tcPr>
            <w:tcW w:w="760" w:type="dxa"/>
            <w:vAlign w:val="bottom"/>
            <w:vMerge w:val="restart"/>
          </w:tcPr>
          <w:p>
            <w:pPr>
              <w:jc w:val="center"/>
              <w:spacing w:after="0" w:line="159" w:lineRule="exact"/>
              <w:rPr>
                <w:sz w:val="20"/>
                <w:szCs w:val="20"/>
                <w:color w:val="auto"/>
              </w:rPr>
            </w:pPr>
            <w:r>
              <w:rPr>
                <w:rFonts w:ascii="Times New Roman" w:cs="Times New Roman" w:eastAsia="Times New Roman" w:hAnsi="Times New Roman"/>
                <w:sz w:val="14"/>
                <w:szCs w:val="14"/>
                <w:color w:val="auto"/>
              </w:rPr>
              <w:t>incr.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thousands)</w:t>
            </w:r>
          </w:p>
        </w:tc>
        <w:tc>
          <w:tcPr>
            <w:tcW w:w="140" w:type="dxa"/>
            <w:vAlign w:val="bottom"/>
          </w:tcPr>
          <w:p>
            <w:pPr>
              <w:spacing w:after="0"/>
              <w:rPr>
                <w:sz w:val="10"/>
                <w:szCs w:val="10"/>
                <w:color w:val="auto"/>
              </w:rPr>
            </w:pP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2022</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2021</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gridSpan w:val="3"/>
            <w:vMerge w:val="restart"/>
          </w:tcPr>
          <w:p>
            <w:pPr>
              <w:jc w:val="right"/>
              <w:ind w:right="528"/>
              <w:spacing w:after="0"/>
              <w:rPr>
                <w:sz w:val="20"/>
                <w:szCs w:val="20"/>
                <w:color w:val="auto"/>
              </w:rPr>
            </w:pPr>
            <w:r>
              <w:rPr>
                <w:rFonts w:ascii="Times New Roman" w:cs="Times New Roman" w:eastAsia="Times New Roman" w:hAnsi="Times New Roman"/>
                <w:sz w:val="14"/>
                <w:szCs w:val="14"/>
                <w:color w:val="auto"/>
                <w:w w:val="99"/>
              </w:rPr>
              <w:t>2022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2021</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w w:val="97"/>
              </w:rPr>
              <w:t>(decr.)</w:t>
            </w: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(decr.)</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w w:val="97"/>
              </w:rPr>
              <w:t>(decr.)</w:t>
            </w: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(decr.)</w:t>
            </w:r>
          </w:p>
        </w:tc>
        <w:tc>
          <w:tcPr>
            <w:tcW w:w="0" w:type="dxa"/>
            <w:vAlign w:val="bottom"/>
          </w:tcPr>
          <w:p>
            <w:pPr>
              <w:spacing w:after="0"/>
              <w:rPr>
                <w:sz w:val="1"/>
                <w:szCs w:val="1"/>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17,776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18.8 %</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15,437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20.0 %  $  2,339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33,095</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18.5 %</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30,361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20.2 %</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27,231</w:t>
            </w:r>
          </w:p>
        </w:tc>
        <w:tc>
          <w:tcPr>
            <w:tcW w:w="90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4,783</w:t>
            </w:r>
          </w:p>
        </w:tc>
        <w:tc>
          <w:tcPr>
            <w:tcW w:w="8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10,134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2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28,067</w:t>
            </w:r>
          </w:p>
        </w:tc>
        <w:tc>
          <w:tcPr>
            <w:tcW w:w="90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3,518</w:t>
            </w:r>
          </w:p>
        </w:tc>
        <w:tc>
          <w:tcPr>
            <w:tcW w:w="8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Restructuring charge</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90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8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(87.8)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44,420</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46.9 %</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37,087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48.0 %</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88,502</w:t>
            </w:r>
          </w:p>
        </w:tc>
        <w:tc>
          <w:tcPr>
            <w:tcW w:w="6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49.5 %</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78,252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52.0 %</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10,250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means not meaningful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$7.3 million increase in operating expenses in the second quarter of fiscal 2022 from the second quarter of fiscal 2021 primarily was the result of:</w:t>
      </w:r>
    </w:p>
    <w:p>
      <w:pPr>
        <w:spacing w:after="0" w:line="119"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operating expenses from recent acquisitions including Haxiot, Ctek and Ventus.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$10.3 million increase in operating expenses in the first half of fiscal 2022 from the first half of fiscal 2021 primarily was the result of:</w:t>
      </w:r>
    </w:p>
    <w:p>
      <w:pPr>
        <w:spacing w:after="0" w:line="119"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operating expenses from our recent acquisitions of Haxiot, Ctek and Ventus.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increase was partially offset by:</w:t>
      </w:r>
    </w:p>
    <w:p>
      <w:pPr>
        <w:spacing w:after="0" w:line="119"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million in contingent consideration expenses in prior year and a decrease in restructuring charges.</w:t>
      </w:r>
    </w:p>
    <w:p>
      <w:pPr>
        <w:spacing w:after="0" w:line="18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was $7.6 million for the three months ended March 31, 2022, compared to $3.4 million for the three months ended March 31,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was $11.4 million for the six months ended March 31, 2022, compared to $3.2 million for the six months ended March 31, 2021.</w:t>
      </w:r>
    </w:p>
    <w:p>
      <w:pPr>
        <w:spacing w:after="0" w:line="16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IoT Product &amp; Services provided operating income of $9.0 million for the three months ended March 31, 2022 compared to $4.6 million for the three months ended March 31, 2021, an increase of $4.5 million, or 97.4%. IoT Product &amp; Services provided operating income of $13.2 million for the six months ended March 31, 2022 compared to $5.9 million for the six months ended March 31, 2021, an increase of $7.3 million, or 125.0%. Drivers for the changes in operating income for the both the quarter and year-to-date periods are described above in the revenue, gross profit and operating expenses details.</w:t>
      </w:r>
    </w:p>
    <w:p>
      <w:pPr>
        <w:spacing w:after="0" w:line="14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IoT Solutions had an operating loss of $1.5 million for the three months ended March 31, 2022 compared to an operating loss of $1.2 million for the three months ended March 31, 2021, an increase of $0.3 million, or 22.4%. IoT Solutions incurred an operating loss of $1.8 million for the six months ended March 31, 2022 compared to $2.6 million for the six months ended March 31, 2021, a decrease of $0.8 million, or 31.4%. Drivers for the changes in operating loss for the both the quarter and year-to-date periods are described above in the revenue, gross profit and operating expenses details.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NET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0" w:type="dxa"/>
            <w:vAlign w:val="bottom"/>
            <w:gridSpan w:val="8"/>
          </w:tcPr>
          <w:p>
            <w:pPr>
              <w:jc w:val="right"/>
              <w:ind w:right="18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7"/>
          </w:tcPr>
          <w:p>
            <w:pPr>
              <w:jc w:val="right"/>
              <w:ind w:right="280"/>
              <w:spacing w:after="0"/>
              <w:rPr>
                <w:sz w:val="20"/>
                <w:szCs w:val="20"/>
                <w:color w:val="auto"/>
              </w:rPr>
            </w:pPr>
            <w:r>
              <w:rPr>
                <w:rFonts w:ascii="Times New Roman" w:cs="Times New Roman" w:eastAsia="Times New Roman" w:hAnsi="Times New Roman"/>
                <w:sz w:val="14"/>
                <w:szCs w:val="14"/>
                <w:color w:val="auto"/>
              </w:rPr>
              <w:t>Six months ended March 31,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w w:val="94"/>
              </w:rPr>
              <w:t>incr.</w:t>
            </w:r>
          </w:p>
        </w:tc>
        <w:tc>
          <w:tcPr>
            <w:tcW w:w="100" w:type="dxa"/>
            <w:vAlign w:val="bottom"/>
          </w:tcPr>
          <w:p>
            <w:pPr>
              <w:spacing w:after="0"/>
              <w:rPr>
                <w:sz w:val="2"/>
                <w:szCs w:val="2"/>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incr.</w:t>
            </w: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incr.</w:t>
            </w:r>
          </w:p>
        </w:tc>
        <w:tc>
          <w:tcPr>
            <w:tcW w:w="120" w:type="dxa"/>
            <w:vAlign w:val="bottom"/>
          </w:tcPr>
          <w:p>
            <w:pPr>
              <w:spacing w:after="0"/>
              <w:rPr>
                <w:sz w:val="2"/>
                <w:szCs w:val="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incr.</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thousands)</w:t>
            </w:r>
          </w:p>
        </w:tc>
        <w:tc>
          <w:tcPr>
            <w:tcW w:w="160" w:type="dxa"/>
            <w:vAlign w:val="bottom"/>
          </w:tcPr>
          <w:p>
            <w:pPr>
              <w:spacing w:after="0"/>
              <w:rPr>
                <w:sz w:val="10"/>
                <w:szCs w:val="10"/>
                <w:color w:val="auto"/>
              </w:rPr>
            </w:pP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2022</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2021</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3"/>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2022</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2021</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68"/>
              <w:spacing w:after="0" w:line="125" w:lineRule="exact"/>
              <w:rPr>
                <w:sz w:val="20"/>
                <w:szCs w:val="20"/>
                <w:color w:val="auto"/>
              </w:rPr>
            </w:pPr>
            <w:r>
              <w:rPr>
                <w:rFonts w:ascii="Times New Roman" w:cs="Times New Roman" w:eastAsia="Times New Roman" w:hAnsi="Times New Roman"/>
                <w:sz w:val="14"/>
                <w:szCs w:val="14"/>
                <w:color w:val="auto"/>
                <w:w w:val="97"/>
              </w:rPr>
              <w:t>(decr.)</w:t>
            </w:r>
          </w:p>
        </w:tc>
        <w:tc>
          <w:tcPr>
            <w:tcW w:w="100" w:type="dxa"/>
            <w:vAlign w:val="bottom"/>
          </w:tcPr>
          <w:p>
            <w:pPr>
              <w:spacing w:after="0"/>
              <w:rPr>
                <w:sz w:val="12"/>
                <w:szCs w:val="12"/>
                <w:color w:val="auto"/>
              </w:rPr>
            </w:pPr>
          </w:p>
        </w:tc>
        <w:tc>
          <w:tcPr>
            <w:tcW w:w="80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4"/>
                <w:szCs w:val="14"/>
                <w:color w:val="auto"/>
              </w:rPr>
              <w:t>(decr.)</w:t>
            </w:r>
          </w:p>
        </w:tc>
        <w:tc>
          <w:tcPr>
            <w:tcW w:w="1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48"/>
              <w:spacing w:after="0" w:line="125" w:lineRule="exact"/>
              <w:rPr>
                <w:sz w:val="20"/>
                <w:szCs w:val="20"/>
                <w:color w:val="auto"/>
              </w:rPr>
            </w:pPr>
            <w:r>
              <w:rPr>
                <w:rFonts w:ascii="Times New Roman" w:cs="Times New Roman" w:eastAsia="Times New Roman" w:hAnsi="Times New Roman"/>
                <w:sz w:val="14"/>
                <w:szCs w:val="14"/>
                <w:color w:val="auto"/>
              </w:rPr>
              <w:t>(decr.)</w:t>
            </w:r>
          </w:p>
        </w:tc>
        <w:tc>
          <w:tcPr>
            <w:tcW w:w="120" w:type="dxa"/>
            <w:vAlign w:val="bottom"/>
          </w:tcPr>
          <w:p>
            <w:pPr>
              <w:spacing w:after="0"/>
              <w:rPr>
                <w:sz w:val="12"/>
                <w:szCs w:val="12"/>
                <w:color w:val="auto"/>
              </w:rPr>
            </w:pPr>
          </w:p>
        </w:tc>
        <w:tc>
          <w:tcPr>
            <w:tcW w:w="6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color w:val="auto"/>
                <w:w w:val="97"/>
              </w:rPr>
              <w:t>(decr.)</w:t>
            </w:r>
          </w:p>
        </w:tc>
        <w:tc>
          <w:tcPr>
            <w:tcW w:w="0" w:type="dxa"/>
            <w:vAlign w:val="bottom"/>
          </w:tcPr>
          <w:p>
            <w:pPr>
              <w:spacing w:after="0"/>
              <w:rPr>
                <w:sz w:val="1"/>
                <w:szCs w:val="1"/>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expense, net</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NM</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4"/>
                <w:szCs w:val="14"/>
                <w:color w:val="auto"/>
                <w:w w:val="97"/>
              </w:rPr>
              <w:t>NM</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NM</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w w:val="97"/>
              </w:rPr>
              <w:t>NM</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 expense, net</w:t>
            </w: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4"/>
                <w:szCs w:val="14"/>
                <w:color w:val="auto"/>
              </w:rPr>
              <w:t>NM</w:t>
            </w: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w w:val="97"/>
              </w:rPr>
              <w:t>NM</w:t>
            </w: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Total other expense,</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(4,324)</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(4,156)</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NM</w:t>
            </w: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(9,324)</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(8,562)</w:t>
            </w: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w w:val="97"/>
              </w:rPr>
              <w:t>NM</w:t>
            </w:r>
          </w:p>
        </w:tc>
        <w:tc>
          <w:tcPr>
            <w:tcW w:w="0" w:type="dxa"/>
            <w:vAlign w:val="bottom"/>
          </w:tcPr>
          <w:p>
            <w:pPr>
              <w:spacing w:after="0"/>
              <w:rPr>
                <w:sz w:val="1"/>
                <w:szCs w:val="1"/>
                <w:color w:val="auto"/>
              </w:rPr>
            </w:pPr>
          </w:p>
        </w:tc>
      </w:tr>
      <w:tr>
        <w:trPr>
          <w:trHeight w:val="191"/>
        </w:trPr>
        <w:tc>
          <w:tcPr>
            <w:tcW w:w="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w:t>
            </w: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4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4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CCEEFF"/>
            </w:tcBorders>
            <w:gridSpan w:val="2"/>
            <w:vMerge w:val="continue"/>
            <w:shd w:val="clear" w:color="auto" w:fill="CCEEFF"/>
          </w:tcPr>
          <w:p>
            <w:pPr>
              <w:spacing w:after="0"/>
              <w:rPr>
                <w:sz w:val="16"/>
                <w:szCs w:val="16"/>
                <w:color w:val="auto"/>
              </w:rPr>
            </w:pPr>
          </w:p>
        </w:tc>
        <w:tc>
          <w:tcPr>
            <w:tcW w:w="58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0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 xml:space="preserve">Other expense, net, increased $4.2 million and $8.6 million for the three and six months ended March 31, 2022, respectively, as compared to the same period in the prior fiscal year. The increase was primarily a result of an increase to our interest expense as we refinanced our revolving loan with a new credit facility in November 2021 and wrote off a portion of the deferred financing fees associated with our prior credit facility to fund the acquisition of Ventus. (see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to the condensed consolidated financial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xml:space="preserve"> to the condensed consolidated financial statements for discussion of income taxes.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FINANCIAL INFORMATION</w:t>
      </w:r>
    </w:p>
    <w:p>
      <w:pPr>
        <w:spacing w:after="0" w:line="185" w:lineRule="exact"/>
        <w:rPr>
          <w:sz w:val="20"/>
          <w:szCs w:val="20"/>
          <w:color w:val="auto"/>
        </w:rPr>
      </w:pPr>
    </w:p>
    <w:p>
      <w:pPr>
        <w:jc w:val="both"/>
        <w:ind w:right="260"/>
        <w:spacing w:after="0" w:line="282" w:lineRule="auto"/>
        <w:rPr>
          <w:sz w:val="20"/>
          <w:szCs w:val="20"/>
          <w:color w:val="auto"/>
        </w:rPr>
      </w:pPr>
      <w:r>
        <w:rPr>
          <w:rFonts w:ascii="Times New Roman" w:cs="Times New Roman" w:eastAsia="Times New Roman" w:hAnsi="Times New Roman"/>
          <w:sz w:val="18"/>
          <w:szCs w:val="18"/>
          <w:color w:val="auto"/>
        </w:rPr>
        <w:t>This report includes adjusted net income, adjusted net income per diluted share and adjusted earnings before interest, taxes and amortization ("Adjusted EBITDA"), each of which is a non-GAAP financial measure.</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Non-GAAP measures are not substitutes for GAAP measures for the purpose of analyzing financial performance. The disclosure of these measures does not reflect all charges and gains that were actually recognized by Digi. These non-GAAP measures are not in accordance with, or, an alternative for measures prepared in accordance with GAAP and may be different from non-GAAP measures used by other companies or presented by us in prior reports. In addition, these non-GAAP measures are not based on any comprehensive set of accounting rules or principles. We believe that non-GAAP measures have limitations in that they do not reflect all of the amounts associated with our results of operations as determined in accordance with GAAP. We believe these measures should only be used to evaluate our results of operations in conjunction with the corresponding GAAP measures. Additionally, Adjusted EBITDA does not reflect our cash expenditures, the cash requirements for the replacement of depreciated and amortized assets, or changes in or cash requirements for our working capital needs.</w:t>
      </w:r>
    </w:p>
    <w:p>
      <w:pPr>
        <w:spacing w:after="0" w:line="16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believe that providing historical and adjusted net income and adjusted net income per diluted share, respectively, exclusive of such items as reversals of tax reserves, discrete tax benefits, restructuring charges and reversals, intangible amortization, stock-based compensation, other non-operating income/expense, adjustments to estimates of contingent consideration, acquisition-related expenses and interest expense related to acquisition permits investors to compare results with prior periods that did not include these items. Management uses the aforementioned non-GAAP measures to monitor and evaluate ongoing operating results and trends and to gain an understanding of our comparative operating performance. In addition, certain of our stockholders have expressed an interest in seeing financial performance measures exclusive of the impact of these matters, which while important, are not central to the core operations of our business. Management believes that Adjusted EBITDA, defined as EBITDA adjusted for stock-based compensation expense, acquisition-related expenses, restructuring charges and reversals and changes in fair value of contingent consideration is useful to investors to evaluate our core operating results and financial performance because it excludes items that are significant non-cash or non-recurring expenses reflected in the consolidated statements of operations. We believe that the presentation of Adjusted EBITDA as a percentage of revenue is useful because it provides a reliable and consistent approach to measuring our performance from year to year and in assessing our performance against that of other companies. We believe this information helps compare operating results and corporate performance exclusive of the impact of our capital structure and the method by which assets were acquired.</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reconciliations from GAAP to Non-GAAP information that we feel is important to our business: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EBITDA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60" w:type="dxa"/>
            <w:vAlign w:val="bottom"/>
            <w:gridSpan w:val="9"/>
          </w:tcPr>
          <w:p>
            <w:pPr>
              <w:ind w:left="60"/>
              <w:spacing w:after="0"/>
              <w:rPr>
                <w:sz w:val="20"/>
                <w:szCs w:val="20"/>
                <w:color w:val="auto"/>
              </w:rPr>
            </w:pPr>
            <w:r>
              <w:rPr>
                <w:rFonts w:ascii="Times New Roman" w:cs="Times New Roman" w:eastAsia="Times New Roman" w:hAnsi="Times New Roman"/>
                <w:sz w:val="16"/>
                <w:szCs w:val="16"/>
                <w:color w:val="auto"/>
              </w:rPr>
              <w:t>Three months ended March 31,</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auto"/>
              </w:rPr>
              <w:t>Six months ended March 31,</w:t>
            </w:r>
          </w:p>
        </w:tc>
        <w:tc>
          <w:tcPr>
            <w:tcW w:w="920" w:type="dxa"/>
            <w:vAlign w:val="bottom"/>
          </w:tcPr>
          <w:p>
            <w:pPr>
              <w:spacing w:after="0"/>
              <w:rPr>
                <w:sz w:val="18"/>
                <w:szCs w:val="18"/>
                <w:color w:val="auto"/>
              </w:rPr>
            </w:pPr>
          </w:p>
        </w:tc>
      </w:tr>
      <w:tr>
        <w:trPr>
          <w:trHeight w:val="210"/>
        </w:trPr>
        <w:tc>
          <w:tcPr>
            <w:tcW w:w="36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gridSpan w:val="3"/>
          </w:tcPr>
          <w:p>
            <w:pPr>
              <w:jc w:val="right"/>
              <w:ind w:right="659"/>
              <w:spacing w:after="0"/>
              <w:rPr>
                <w:sz w:val="20"/>
                <w:szCs w:val="20"/>
                <w:color w:val="auto"/>
              </w:rPr>
            </w:pPr>
            <w:r>
              <w:rPr>
                <w:rFonts w:ascii="Times New Roman" w:cs="Times New Roman" w:eastAsia="Times New Roman" w:hAnsi="Times New Roman"/>
                <w:sz w:val="16"/>
                <w:szCs w:val="16"/>
                <w:color w:val="auto"/>
                <w:w w:val="99"/>
              </w:rPr>
              <w:t>2022</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3"/>
          </w:tcPr>
          <w:p>
            <w:pPr>
              <w:jc w:val="right"/>
              <w:ind w:right="679"/>
              <w:spacing w:after="0"/>
              <w:rPr>
                <w:sz w:val="20"/>
                <w:szCs w:val="20"/>
                <w:color w:val="auto"/>
              </w:rPr>
            </w:pPr>
            <w:r>
              <w:rPr>
                <w:rFonts w:ascii="Times New Roman" w:cs="Times New Roman" w:eastAsia="Times New Roman" w:hAnsi="Times New Roman"/>
                <w:sz w:val="16"/>
                <w:szCs w:val="16"/>
                <w:color w:val="auto"/>
                <w:w w:val="99"/>
              </w:rPr>
              <w:t>2021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3"/>
          </w:tcPr>
          <w:p>
            <w:pPr>
              <w:jc w:val="right"/>
              <w:ind w:right="679"/>
              <w:spacing w:after="0"/>
              <w:rPr>
                <w:sz w:val="20"/>
                <w:szCs w:val="20"/>
                <w:color w:val="auto"/>
              </w:rPr>
            </w:pPr>
            <w:r>
              <w:rPr>
                <w:rFonts w:ascii="Times New Roman" w:cs="Times New Roman" w:eastAsia="Times New Roman" w:hAnsi="Times New Roman"/>
                <w:sz w:val="16"/>
                <w:szCs w:val="16"/>
                <w:color w:val="auto"/>
                <w:w w:val="99"/>
              </w:rPr>
              <w:t>2022</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gridSpan w:val="3"/>
          </w:tcPr>
          <w:p>
            <w:pPr>
              <w:jc w:val="right"/>
              <w:ind w:right="679"/>
              <w:spacing w:after="0"/>
              <w:rPr>
                <w:sz w:val="20"/>
                <w:szCs w:val="20"/>
                <w:color w:val="auto"/>
              </w:rPr>
            </w:pPr>
            <w:r>
              <w:rPr>
                <w:rFonts w:ascii="Times New Roman" w:cs="Times New Roman" w:eastAsia="Times New Roman" w:hAnsi="Times New Roman"/>
                <w:sz w:val="16"/>
                <w:szCs w:val="16"/>
                <w:color w:val="auto"/>
              </w:rPr>
              <w:t>2021</w:t>
            </w:r>
          </w:p>
        </w:tc>
      </w:tr>
      <w:tr>
        <w:trPr>
          <w:trHeight w:val="158"/>
        </w:trPr>
        <w:tc>
          <w:tcPr>
            <w:tcW w:w="3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rPr>
              <w:t>% of total</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rPr>
              <w:t>% of total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rPr>
              <w:t>% of total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59"/>
              <w:spacing w:after="0" w:line="158" w:lineRule="exact"/>
              <w:rPr>
                <w:sz w:val="20"/>
                <w:szCs w:val="20"/>
                <w:color w:val="auto"/>
              </w:rPr>
            </w:pPr>
            <w:r>
              <w:rPr>
                <w:rFonts w:ascii="Times New Roman" w:cs="Times New Roman" w:eastAsia="Times New Roman" w:hAnsi="Times New Roman"/>
                <w:sz w:val="16"/>
                <w:szCs w:val="16"/>
                <w:color w:val="auto"/>
              </w:rPr>
              <w:t>% of total</w:t>
            </w:r>
          </w:p>
        </w:tc>
      </w:tr>
      <w:tr>
        <w:trPr>
          <w:trHeight w:val="213"/>
        </w:trPr>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revenue</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revenue</w:t>
            </w:r>
          </w:p>
        </w:tc>
      </w:tr>
      <w:tr>
        <w:trPr>
          <w:trHeight w:val="230"/>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94,713</w:t>
            </w:r>
          </w:p>
        </w:tc>
        <w:tc>
          <w:tcPr>
            <w:tcW w:w="160" w:type="dxa"/>
            <w:vAlign w:val="bottom"/>
            <w:tcBorders>
              <w:top w:val="single" w:sz="8" w:color="CCEEFF"/>
            </w:tcBorders>
            <w:gridSpan w:val="2"/>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77,301</w:t>
            </w:r>
          </w:p>
        </w:tc>
        <w:tc>
          <w:tcPr>
            <w:tcW w:w="180" w:type="dxa"/>
            <w:vAlign w:val="bottom"/>
            <w:tcBorders>
              <w:top w:val="single" w:sz="8" w:color="CCEEFF"/>
            </w:tcBorders>
            <w:gridSpan w:val="2"/>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178,970</w:t>
            </w:r>
          </w:p>
        </w:tc>
        <w:tc>
          <w:tcPr>
            <w:tcW w:w="180" w:type="dxa"/>
            <w:vAlign w:val="bottom"/>
            <w:tcBorders>
              <w:top w:val="single" w:sz="8" w:color="CCEEFF"/>
            </w:tcBorders>
            <w:gridSpan w:val="2"/>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150,447</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12"/>
        </w:trPr>
        <w:tc>
          <w:tcPr>
            <w:tcW w:w="3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10,052</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fair value of contingent consideration</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5,772</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charge</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Acquisition expense</w:t>
            </w: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4,081</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r>
      <w:tr>
        <w:trPr>
          <w:trHeight w:val="232"/>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19,525</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11,696</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36,495</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24,673</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16.4 %</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and Net Income per Diluted Share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Net Income and Adjusted Net Income per Diluted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6"/>
                <w:szCs w:val="16"/>
                <w:color w:val="auto"/>
              </w:rPr>
              <w:t>Three months ended March 31,</w:t>
            </w: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6"/>
                <w:szCs w:val="16"/>
                <w:color w:val="auto"/>
              </w:rPr>
              <w:t>Six months ended March 31,</w:t>
            </w: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2022</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2021</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2022</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2021</w:t>
            </w: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8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Net income and net income per diluted</w:t>
            </w: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2,847</w:t>
            </w:r>
          </w:p>
        </w:tc>
        <w:tc>
          <w:tcPr>
            <w:tcW w:w="4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4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2,928</w:t>
            </w:r>
          </w:p>
        </w:tc>
        <w:tc>
          <w:tcPr>
            <w:tcW w:w="12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3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4,034</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w:t>
            </w:r>
          </w:p>
        </w:tc>
        <w:tc>
          <w:tcPr>
            <w:tcW w:w="1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w:t>
            </w:r>
          </w:p>
        </w:tc>
        <w:tc>
          <w:tcPr>
            <w:tcW w:w="2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non-operating income</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expense</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162"/>
        </w:trPr>
        <w:tc>
          <w:tcPr>
            <w:tcW w:w="28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Changes in fair value of contingent</w:t>
            </w:r>
          </w:p>
        </w:tc>
        <w:tc>
          <w:tcPr>
            <w:tcW w:w="2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5,772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consideration</w:t>
            </w:r>
          </w:p>
        </w:tc>
        <w:tc>
          <w:tcPr>
            <w:tcW w:w="2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charge</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Tax effect from the above adjustments </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Discrete tax benefits </w:t>
            </w:r>
            <w:r>
              <w:rPr>
                <w:rFonts w:ascii="Times New Roman" w:cs="Times New Roman" w:eastAsia="Times New Roman" w:hAnsi="Times New Roman"/>
                <w:sz w:val="21"/>
                <w:szCs w:val="21"/>
                <w:color w:val="auto"/>
                <w:vertAlign w:val="superscript"/>
              </w:rPr>
              <w:t>(2)</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Adjusted net income and adjusted net</w:t>
            </w: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14,479</w:t>
            </w:r>
          </w:p>
        </w:tc>
        <w:tc>
          <w:tcPr>
            <w:tcW w:w="4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4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8,648</w:t>
            </w:r>
          </w:p>
        </w:tc>
        <w:tc>
          <w:tcPr>
            <w:tcW w:w="12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3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27,205</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18,554</w:t>
            </w:r>
          </w:p>
        </w:tc>
        <w:tc>
          <w:tcPr>
            <w:tcW w:w="1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0" w:type="dxa"/>
            <w:vAlign w:val="bottom"/>
          </w:tcPr>
          <w:p>
            <w:pPr>
              <w:spacing w:after="0"/>
              <w:rPr>
                <w:sz w:val="1"/>
                <w:szCs w:val="1"/>
                <w:color w:val="auto"/>
              </w:rPr>
            </w:pPr>
          </w:p>
        </w:tc>
      </w:tr>
      <w:tr>
        <w:trPr>
          <w:trHeight w:val="209"/>
        </w:trPr>
        <w:tc>
          <w:tcPr>
            <w:tcW w:w="2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6"/>
                <w:szCs w:val="16"/>
                <w:color w:val="auto"/>
              </w:rPr>
              <w:t xml:space="preserve">income per diluted share </w:t>
            </w:r>
            <w:r>
              <w:rPr>
                <w:rFonts w:ascii="Times New Roman" w:cs="Times New Roman" w:eastAsia="Times New Roman" w:hAnsi="Times New Roman"/>
                <w:sz w:val="21"/>
                <w:szCs w:val="21"/>
                <w:color w:val="auto"/>
                <w:vertAlign w:val="superscript"/>
              </w:rPr>
              <w:t>(3)</w:t>
            </w:r>
          </w:p>
        </w:tc>
        <w:tc>
          <w:tcPr>
            <w:tcW w:w="2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Diluted weighted average common shares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8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35,608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35,710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31,436</w:t>
            </w: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effect from the above adjustments assumes an estimated effective tax rate of 18.0% for fiscal 2022 and fiscal 2021 based on adjusted net income.</w:t>
      </w:r>
    </w:p>
    <w:p>
      <w:pPr>
        <w:spacing w:after="0" w:line="26" w:lineRule="exact"/>
        <w:rPr>
          <w:rFonts w:ascii="Times New Roman" w:cs="Times New Roman" w:eastAsia="Times New Roman" w:hAnsi="Times New Roman"/>
          <w:sz w:val="16"/>
          <w:szCs w:val="16"/>
          <w:color w:val="auto"/>
        </w:rPr>
      </w:pPr>
    </w:p>
    <w:p>
      <w:pPr>
        <w:ind w:left="340" w:right="520" w:hanging="332"/>
        <w:spacing w:after="0" w:line="256" w:lineRule="auto"/>
        <w:tabs>
          <w:tab w:leader="none" w:pos="3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the three and six months ended </w:t>
      </w:r>
      <w:r>
        <w:rPr>
          <w:rFonts w:ascii="Times New Roman" w:cs="Times New Roman" w:eastAsia="Times New Roman" w:hAnsi="Times New Roman"/>
          <w:sz w:val="17"/>
          <w:szCs w:val="17"/>
          <w:color w:val="auto"/>
        </w:rPr>
        <w:t>March 31, 2022 and</w:t>
      </w:r>
      <w:r>
        <w:rPr>
          <w:rFonts w:ascii="Times New Roman" w:cs="Times New Roman" w:eastAsia="Times New Roman" w:hAnsi="Times New Roman"/>
          <w:sz w:val="16"/>
          <w:szCs w:val="16"/>
          <w:color w:val="auto"/>
        </w:rPr>
        <w:t xml:space="preserve"> March 31, 2021, discrete tax benefits primarily are a result of excess tax benefits recognized on stock compensation.</w:t>
      </w:r>
    </w:p>
    <w:p>
      <w:pPr>
        <w:ind w:left="340" w:hanging="332"/>
        <w:spacing w:after="0"/>
        <w:tabs>
          <w:tab w:leader="none" w:pos="3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net income per diluted share may not add due to the use of rounded numbers.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Historically we have financed our operations and capital expenditures principally with funds generated from operations. Our liquidity requirements arise from our working capital needs, and to a lesser extent, our need to fund capital expenditures to support our current operations and facilitate growth and expansion.</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On November 1, 2021, we entered into a second amended and restated credit agreement consisting of a $350 million term loan B secured loan and a $35 million revolving credit facility. The $35 million revolving credit facility, which presently has no outstanding balance, includes a $10 million letter of credit subfacility and $10 million swingline subfacility. During the first quarter of fiscal 2022, we repaid all outstanding balances under the credit facility entered into on March 21, 2021. As of March 31, 2022, $35.0 million remained available under the Revolving Loan, which included $10 million available for a letter of credit subfacility and $10 million available under a swingline subfacility, the outstanding amounts of which decrease the available commitment. For additional information regarding the terms of our Credit Facility, including the Revolving Loan and its subfacilities, 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to our condensed consolidated financial statements.</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expect positive cash flows from operations for the foreseeable future. Our second fiscal quarter operating cash flows were negatively impacted by changes in operating assets and liabilities (net of acquisitions) that we do not anticipate in future periods. We believe that our current cash and cash equivalents balances, cash generated from operations and our ability to borrow under our credit facility will be sufficient to fund our business operations and capital expenditures for the next twelve months and beyond. As follows, our condensed consolidated statements of cash flows for the six months ended March 31, 2022 and 2021 is summarized: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4"/>
          </w:tcPr>
          <w:p>
            <w:pPr>
              <w:jc w:val="right"/>
              <w:ind w:right="448"/>
              <w:spacing w:after="0"/>
              <w:rPr>
                <w:sz w:val="20"/>
                <w:szCs w:val="20"/>
                <w:color w:val="auto"/>
              </w:rPr>
            </w:pPr>
            <w:r>
              <w:rPr>
                <w:rFonts w:ascii="Times New Roman" w:cs="Times New Roman" w:eastAsia="Times New Roman" w:hAnsi="Times New Roman"/>
                <w:sz w:val="14"/>
                <w:szCs w:val="14"/>
                <w:color w:val="auto"/>
              </w:rPr>
              <w:t>Six months ended March 31,</w:t>
            </w:r>
          </w:p>
        </w:tc>
        <w:tc>
          <w:tcPr>
            <w:tcW w:w="0" w:type="dxa"/>
            <w:vAlign w:val="bottom"/>
          </w:tcPr>
          <w:p>
            <w:pPr>
              <w:spacing w:after="0"/>
              <w:rPr>
                <w:sz w:val="1"/>
                <w:szCs w:val="1"/>
                <w:color w:val="auto"/>
              </w:rPr>
            </w:pPr>
          </w:p>
        </w:tc>
      </w:tr>
      <w:tr>
        <w:trPr>
          <w:trHeight w:val="23"/>
        </w:trPr>
        <w:tc>
          <w:tcPr>
            <w:tcW w:w="8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5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03"/>
        </w:trPr>
        <w:tc>
          <w:tcPr>
            <w:tcW w:w="8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(4,004)</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21,297</w:t>
            </w:r>
          </w:p>
        </w:tc>
        <w:tc>
          <w:tcPr>
            <w:tcW w:w="0" w:type="dxa"/>
            <w:vAlign w:val="bottom"/>
          </w:tcPr>
          <w:p>
            <w:pPr>
              <w:spacing w:after="0"/>
              <w:rPr>
                <w:sz w:val="1"/>
                <w:szCs w:val="1"/>
                <w:color w:val="auto"/>
              </w:rPr>
            </w:pPr>
          </w:p>
        </w:tc>
      </w:tr>
      <w:tr>
        <w:trPr>
          <w:trHeight w:val="195"/>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(349,186)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(8,382)</w:t>
            </w:r>
          </w:p>
        </w:tc>
        <w:tc>
          <w:tcPr>
            <w:tcW w:w="0" w:type="dxa"/>
            <w:vAlign w:val="bottom"/>
          </w:tcPr>
          <w:p>
            <w:pPr>
              <w:spacing w:after="0"/>
              <w:rPr>
                <w:sz w:val="1"/>
                <w:szCs w:val="1"/>
                <w:color w:val="auto"/>
              </w:rPr>
            </w:pPr>
          </w:p>
        </w:tc>
      </w:tr>
      <w:tr>
        <w:trPr>
          <w:trHeight w:val="210"/>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59,997</w:t>
            </w:r>
          </w:p>
        </w:tc>
        <w:tc>
          <w:tcPr>
            <w:tcW w:w="0" w:type="dxa"/>
            <w:vAlign w:val="bottom"/>
          </w:tcPr>
          <w:p>
            <w:pPr>
              <w:spacing w:after="0"/>
              <w:rPr>
                <w:sz w:val="1"/>
                <w:szCs w:val="1"/>
                <w:color w:val="auto"/>
              </w:rPr>
            </w:pPr>
          </w:p>
        </w:tc>
      </w:tr>
      <w:tr>
        <w:trPr>
          <w:trHeight w:val="196"/>
        </w:trPr>
        <w:tc>
          <w:tcPr>
            <w:tcW w:w="8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228"/>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(111,046)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73,060</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 increased $25.3 million primarily as a result of:</w:t>
      </w:r>
    </w:p>
    <w:p>
      <w:pPr>
        <w:spacing w:after="0" w:line="187" w:lineRule="exact"/>
        <w:rPr>
          <w:sz w:val="20"/>
          <w:szCs w:val="20"/>
          <w:color w:val="auto"/>
        </w:rPr>
      </w:pPr>
    </w:p>
    <w:p>
      <w:pPr>
        <w:ind w:left="660" w:right="3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operating assets and liabilities (net of acquisitions) during the period of $37.3 million compared to $4.8 million in the six months ended March 31, 2021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of $5.8 million in contingent consideration fair value changes.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increases were partially offset by:</w:t>
      </w:r>
    </w:p>
    <w:p>
      <w:pPr>
        <w:spacing w:after="0" w:line="187"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depreciation and amortization expenses, the provision for inventory obsolescence and net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 increased $340.8 million almost entirely as a result of:</w:t>
      </w:r>
    </w:p>
    <w:p>
      <w:pPr>
        <w:spacing w:after="0" w:line="200" w:lineRule="exact"/>
        <w:rPr>
          <w:sz w:val="20"/>
          <w:szCs w:val="20"/>
          <w:color w:val="auto"/>
        </w:rPr>
      </w:pPr>
    </w:p>
    <w:p>
      <w:pPr>
        <w:ind w:left="660" w:right="30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of $340.4 million used for acquisitions, primarily related to our November 2021 acquisition of Ventus (see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to the condensed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 increased $182.8 million primarily as a result of:</w:t>
      </w:r>
    </w:p>
    <w:p>
      <w:pPr>
        <w:spacing w:after="0" w:line="187"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$350.0 million in proceeds from the Term Loan issued in November 2021.</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increase was partially offset by:</w:t>
      </w:r>
    </w:p>
    <w:p>
      <w:pPr>
        <w:spacing w:after="0" w:line="187"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$73.8 million in proceeds from stock issuance in Q2 2021,</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$45.8 million upon the closing of the Term Loan issued in November 2021 to retire the previous credit facility,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2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60" w:right="10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early payments of $61 million on the new Term Loan issued in November 2021 compared to $15.6 million in debt payments in fiscal 2021 on the previous credit facility (see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to the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OBLIGATIONS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at March 31, 2022:</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80" w:type="dxa"/>
            <w:vAlign w:val="bottom"/>
            <w:gridSpan w:val="6"/>
          </w:tcPr>
          <w:p>
            <w:pPr>
              <w:jc w:val="center"/>
              <w:ind w:left="428"/>
              <w:spacing w:after="0"/>
              <w:rPr>
                <w:sz w:val="20"/>
                <w:szCs w:val="20"/>
                <w:color w:val="auto"/>
              </w:rPr>
            </w:pPr>
            <w:r>
              <w:rPr>
                <w:rFonts w:ascii="Times New Roman" w:cs="Times New Roman" w:eastAsia="Times New Roman" w:hAnsi="Times New Roman"/>
                <w:sz w:val="14"/>
                <w:szCs w:val="14"/>
                <w:color w:val="auto"/>
              </w:rPr>
              <w:t>Payments due by fiscal period</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Less than 1 year</w:t>
            </w:r>
          </w:p>
        </w:tc>
        <w:tc>
          <w:tcPr>
            <w:tcW w:w="1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1-3 years</w:t>
            </w:r>
          </w:p>
        </w:tc>
        <w:tc>
          <w:tcPr>
            <w:tcW w:w="24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3-5 years</w:t>
            </w:r>
          </w:p>
        </w:tc>
        <w:tc>
          <w:tcPr>
            <w:tcW w:w="180" w:type="dxa"/>
            <w:vAlign w:val="bottom"/>
          </w:tcPr>
          <w:p>
            <w:pPr>
              <w:spacing w:after="0"/>
              <w:rPr>
                <w:sz w:val="16"/>
                <w:szCs w:val="16"/>
                <w:color w:val="auto"/>
              </w:rPr>
            </w:pPr>
          </w:p>
        </w:tc>
        <w:tc>
          <w:tcPr>
            <w:tcW w:w="9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Thereafter</w:t>
            </w:r>
          </w:p>
        </w:tc>
        <w:tc>
          <w:tcPr>
            <w:tcW w:w="0" w:type="dxa"/>
            <w:vAlign w:val="bottom"/>
          </w:tcPr>
          <w:p>
            <w:pPr>
              <w:spacing w:after="0"/>
              <w:rPr>
                <w:sz w:val="1"/>
                <w:szCs w:val="1"/>
                <w:color w:val="auto"/>
              </w:rPr>
            </w:pPr>
          </w:p>
        </w:tc>
      </w:tr>
      <w:tr>
        <w:trPr>
          <w:trHeight w:val="203"/>
        </w:trPr>
        <w:tc>
          <w:tcPr>
            <w:tcW w:w="5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23,041</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1,939</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6,860</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5,412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8,830</w:t>
            </w:r>
          </w:p>
        </w:tc>
        <w:tc>
          <w:tcPr>
            <w:tcW w:w="0" w:type="dxa"/>
            <w:vAlign w:val="bottom"/>
          </w:tcPr>
          <w:p>
            <w:pPr>
              <w:spacing w:after="0"/>
              <w:rPr>
                <w:sz w:val="1"/>
                <w:szCs w:val="1"/>
                <w:color w:val="auto"/>
              </w:rPr>
            </w:pPr>
          </w:p>
        </w:tc>
      </w:tr>
      <w:tr>
        <w:trPr>
          <w:trHeight w:val="195"/>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Contingent consideration</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288,749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209,999</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Interest on long-term debt</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84,333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15,521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28,264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24,149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16,399</w:t>
            </w:r>
          </w:p>
        </w:tc>
        <w:tc>
          <w:tcPr>
            <w:tcW w:w="0" w:type="dxa"/>
            <w:vAlign w:val="bottom"/>
          </w:tcPr>
          <w:p>
            <w:pPr>
              <w:spacing w:after="0"/>
              <w:rPr>
                <w:sz w:val="1"/>
                <w:szCs w:val="1"/>
                <w:color w:val="auto"/>
              </w:rPr>
            </w:pPr>
          </w:p>
        </w:tc>
      </w:tr>
      <w:tr>
        <w:trPr>
          <w:trHeight w:val="228"/>
        </w:trPr>
        <w:tc>
          <w:tcPr>
            <w:tcW w:w="52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402,323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32,310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70,224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64,561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235,228</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operating lease agreements included above primarily relate to office space. The table above does not include possible payments for uncertain tax positions. Our reserve for uncertain tax positions, including accrued interest and penalties, was $3.0 million as of March 31, 2022. Due to the nature of the underlying liabilities and the extended time often needed to resolve income tax uncertainties, we cannot make reliable estimates of the amount or timing of future cash payments that may be required to settle these liabilities. The above table also does not include those obligations for royalties under license agreements as these royalties are calculated based on future sales of licensed products and we cannot make reliable estimates of the amount of cash payments.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ISSUED ACCOUNTING PRONOUNCEMENTS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information on new accounting pronouncements, see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xml:space="preserve">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ongoing market risk related to changes in interest rates and foreign currency exchange rates.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market risks related to fluctuations in interest rates on amounts borrowed under the Credit Facility. As of March 31, 2022, we had</w:t>
      </w:r>
    </w:p>
    <w:p>
      <w:pPr>
        <w:spacing w:after="0" w:line="2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 xml:space="preserve">$288.7 million outstanding under our Term Loan. Borrowings under the Term Loan Facility bear interest at a rate per annum equal to LIBOR with a floor of 0.50% for an interest period of one, three or six months as selected by Digi, reset at the end of the selected interest period (or a replacement benchmark rate if LIBOR is no longer available) plus 5.00% or a base rate plus 4.00%. The base rate is determined by reference to the highest of BMO’s prime rate, the Federal Funds Effective Rate plus 0.5%, or the one-month LIBOR for U.S. dollars plus 1.00%. The applicable margin for loans under the Revolving Credit Facility is in a range of 4.00-3.75% for LIBOR loans and 3.00 to 2.75% for base rate loans, depending on Digi’s consolidated leverage ratio. Based on the balance sheet position for the Revolving Loan at March 31, 2022, the annualized effect of a 25 basis point change in interest rates would increase or decrease our interest expense by $0.7 million. For additional information, 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to our condensed consolidated financial statements. For our Credit Facility, interest rate changes generally do not affect the fair value of the debt instruments, but do impact future earnings and cash flows, assuming other factors are held constant.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RISK</w:t>
      </w:r>
    </w:p>
    <w:p>
      <w:pPr>
        <w:spacing w:after="0" w:line="19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not exposed to foreign currency transaction risk associated with sales transactions as the majority of our sales are denominated in U.S. Dollars. We are exposed to foreign currency translation risk as the financial position and operating results of our foreign subsidiaries are translated into U.S. Dollars for consolidation. We manage our net asset or net liability position for non-functional currency accounts, primarily the U.S. Dollar accounts in our foreign locations to reduce our foreign currency risk. We have not implemented a formal hedging strategy.</w:t>
      </w:r>
    </w:p>
    <w:p>
      <w:pPr>
        <w:spacing w:after="0" w:line="1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10% change in the average exchange rate for the Euro, British Pound, Japanese Yen and Canadian Dollar to the U.S. Dollar during the first six months of fiscal 2022 would have resulted in a 0.8% increase or decrease in stockholders' equity due to foreign currency translation.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RISK</w:t>
      </w:r>
    </w:p>
    <w:p>
      <w:pPr>
        <w:spacing w:after="0" w:line="19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have exposure to credit risk related to our accounts receivable portfolio. Exposure to credit risk is controlled through regular monitoring of customer financial status, credit limits and collaboration with sales management and customer contacts to facilitate payment.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EVALUATION OF DISCLOSURE CONTROLS AND PROCEDURES</w:t>
      </w:r>
    </w:p>
    <w:p>
      <w:pPr>
        <w:spacing w:after="0" w:line="19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we conducted an evaluation, under the supervision and with the participation of the Chief Executive Officer and Chief Financial Officer, of our disclosure controls and procedures (as defined in Rules 13a-15(e) and 15d-15(e) under the Securities Exchange Act of 1934 (the "Exchange Act")). Based on this evaluation, the Chief Executive Officer and Chief Financial Officer concluded that our disclosure controls and procedures were effective to ensure that information required to be disclosed by us in reports that we file or submit under the Exchange Act was recorded, processed, summarized and reported within the time periods specified in SEC rules and forms and is accumulated and communicated to our management, including the principal executive and principal financial officers, or persons performing similar functions, as appropriate to allow timely decisions regarding required disclosure.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INTERNAL CONTROL OVER FINANCIAL REPORTING</w:t>
      </w:r>
    </w:p>
    <w:p>
      <w:pPr>
        <w:spacing w:after="0" w:line="18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March 31, 2022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 xml:space="preserve">The disclosure set forth in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to the condensed consolidated financial statements in Part I, Item 1 of this Form 10-Q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Except as noted below, there have been no material changes in our risk factors from those previously disclosed in Item 1A of Part I of our Annual Report on Form 10-K for the year ended September 30, 2021.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Supply Chain and Freight Transportation Disruptions</w:t>
      </w:r>
    </w:p>
    <w:p>
      <w:pPr>
        <w:spacing w:after="0" w:line="24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As we previous disclosed, like many companies, we are experiencing disruptions in our supply chain for a variety of reasons that we believe were initially triggered by the ongoing COVID-19 pandemic. Among others these reasons include: labor force disruptions, container ship backlogs, physical container shortages at locations important for the global supply chain, energy disruptions in China and elsewhere and material and component shortages. The war in Ukraine is now also impacting the global supply chain. We also are monitoring policy actions by the Chinese and Russian governments as well as the implementation of economic sanctions against Russia by other governments that could cause other disruptions in the supply and production of components and products. Collectively these issues have led to shortfalls in available components we need to make products as well as increased costs to obtain components, to make products and to transport components and products. It has also lengthened the timelines for us to fulfill customer orders. The severity of the disruptions is continuously changing, meaning the impact on our ability to meet demand for particular products in a timely manner has been subject to ebb and flow. Some of these disruptions have been material with respect to certain of our products. We are taking steps to attempt to mitigate the impact of disruptions such as placing inventory demand further out into the future to secure our allocations of components, negotiating and engaging with suppliers to reserve components, encouraging customers to place orders earlier than normal due to longer lead times and attempting (in conjunction with customers) to influence political leaders to assure components needed to make products that are essential to the health and well-being of society are prioritized to our customer’s needs by suppliers. Many of our suppliers are also experiencing supply chain disruptions which in turn disrupt our operations. At present, we are unable to predict neither the duration or severity, nor the impact on our business and financial results of these disruptions, which could be material.</w:t>
      </w:r>
    </w:p>
    <w:p>
      <w:pPr>
        <w:spacing w:after="0" w:line="21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i w:val="1"/>
          <w:iCs w:val="1"/>
          <w:color w:val="auto"/>
        </w:rPr>
        <w:t>Natural disasters, wars and other events beyond our control could impact our supply chain and customers negatively resulting in an adverse impact to our revenue and profitability.</w:t>
      </w:r>
    </w:p>
    <w:p>
      <w:pPr>
        <w:spacing w:after="0" w:line="188"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Certain of our components and other materials used in producing our products are from regions susceptible to natural disasters beyond our control, such as the COVID-19 pandemic. In addition, some materials used in producing our products may come from regions presently impacted by the war in Ukraine. These and other events beyond our control can adversely impact our supply chains and our business. If we are unable to procure necessary materials, we could experience a disruption to our supply chain that would hinder our ability to produce our products in a timely manner. It also could cause us to seek other sources of supply which may be more costly or which we may not be able to procure on a timely basis. We also risk damage to any tooling, equipment or inventory at the supplier’s facilities. For instance, flooding in October 2011 and a fire in November 2014 disrupted the operations at one of our contract manufacturers in Thailand. In addition, our customers may not follow their normal purchasing patterns or temporarily cease purchasing from us due to impacts to their businesses in the region, creating unexpected fluctuations or decreases in our revenue and profitability. Natural disasters, wars and other events beyond our control could have material adverse impacts on our business.</w:t>
      </w:r>
    </w:p>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information with respect to purchases made by or on behalf of Digi International Inc. or any "affiliated purchaser" (as defined in Rule 10b-18(a)(3) under the Securities Exchange Act of 1934), of our common stock during the second quarter of fiscal 2022:</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Total 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Total Number of Shares</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Maximum Dollar Value</w:t>
            </w:r>
          </w:p>
        </w:tc>
        <w:tc>
          <w:tcPr>
            <w:tcW w:w="0" w:type="dxa"/>
            <w:vAlign w:val="bottom"/>
          </w:tcPr>
          <w:p>
            <w:pPr>
              <w:spacing w:after="0"/>
              <w:rPr>
                <w:sz w:val="1"/>
                <w:szCs w:val="1"/>
                <w:color w:val="auto"/>
              </w:rPr>
            </w:pPr>
          </w:p>
        </w:tc>
      </w:tr>
      <w:tr>
        <w:trPr>
          <w:trHeight w:val="176"/>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Purchased as Part of a</w:t>
            </w:r>
          </w:p>
        </w:tc>
        <w:tc>
          <w:tcPr>
            <w:tcW w:w="1840" w:type="dxa"/>
            <w:vAlign w:val="bottom"/>
            <w:gridSpan w:val="2"/>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of Shares that May Yet</w:t>
            </w:r>
          </w:p>
        </w:tc>
        <w:tc>
          <w:tcPr>
            <w:tcW w:w="0" w:type="dxa"/>
            <w:vAlign w:val="bottom"/>
          </w:tcPr>
          <w:p>
            <w:pPr>
              <w:spacing w:after="0"/>
              <w:rPr>
                <w:sz w:val="1"/>
                <w:szCs w:val="1"/>
                <w:color w:val="auto"/>
              </w:rPr>
            </w:pPr>
          </w:p>
        </w:tc>
      </w:tr>
      <w:tr>
        <w:trPr>
          <w:trHeight w:val="189"/>
        </w:trPr>
        <w:tc>
          <w:tcPr>
            <w:tcW w:w="4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4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Shares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Average Price</w:t>
            </w:r>
          </w:p>
        </w:tc>
        <w:tc>
          <w:tcPr>
            <w:tcW w:w="202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color w:val="auto"/>
                <w:w w:val="98"/>
              </w:rPr>
              <w:t>Publicly Announced</w:t>
            </w:r>
          </w:p>
        </w:tc>
        <w:tc>
          <w:tcPr>
            <w:tcW w:w="18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Be Purchased Under the</w:t>
            </w:r>
          </w:p>
        </w:tc>
        <w:tc>
          <w:tcPr>
            <w:tcW w:w="0" w:type="dxa"/>
            <w:vAlign w:val="bottom"/>
          </w:tcPr>
          <w:p>
            <w:pPr>
              <w:spacing w:after="0"/>
              <w:rPr>
                <w:sz w:val="1"/>
                <w:szCs w:val="1"/>
                <w:color w:val="auto"/>
              </w:rPr>
            </w:pPr>
          </w:p>
        </w:tc>
      </w:tr>
      <w:tr>
        <w:trPr>
          <w:trHeight w:val="230"/>
        </w:trPr>
        <w:tc>
          <w:tcPr>
            <w:tcW w:w="4360" w:type="dxa"/>
            <w:vAlign w:val="bottom"/>
            <w:gridSpan w:val="2"/>
            <w:vMerge w:val="continue"/>
          </w:tcPr>
          <w:p>
            <w:pPr>
              <w:spacing w:after="0"/>
              <w:rPr>
                <w:sz w:val="19"/>
                <w:szCs w:val="19"/>
                <w:color w:val="auto"/>
              </w:rPr>
            </w:pPr>
          </w:p>
        </w:tc>
        <w:tc>
          <w:tcPr>
            <w:tcW w:w="142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3"/>
              </w:rPr>
              <w:t>Purchased</w:t>
            </w:r>
            <w:r>
              <w:rPr>
                <w:rFonts w:ascii="Times New Roman" w:cs="Times New Roman" w:eastAsia="Times New Roman" w:hAnsi="Times New Roman"/>
                <w:sz w:val="23"/>
                <w:szCs w:val="23"/>
                <w:color w:val="auto"/>
                <w:w w:val="93"/>
                <w:vertAlign w:val="superscript"/>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Paid per Share</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Program</w:t>
            </w:r>
          </w:p>
        </w:tc>
        <w:tc>
          <w:tcPr>
            <w:tcW w:w="360" w:type="dxa"/>
            <w:vAlign w:val="bottom"/>
          </w:tcPr>
          <w:p>
            <w:pPr>
              <w:spacing w:after="0"/>
              <w:rPr>
                <w:sz w:val="19"/>
                <w:szCs w:val="19"/>
                <w:color w:val="auto"/>
              </w:rPr>
            </w:pPr>
          </w:p>
        </w:tc>
        <w:tc>
          <w:tcPr>
            <w:tcW w:w="14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Program</w:t>
            </w:r>
          </w:p>
        </w:tc>
        <w:tc>
          <w:tcPr>
            <w:tcW w:w="0" w:type="dxa"/>
            <w:vAlign w:val="bottom"/>
          </w:tcPr>
          <w:p>
            <w:pPr>
              <w:spacing w:after="0"/>
              <w:rPr>
                <w:sz w:val="1"/>
                <w:szCs w:val="1"/>
                <w:color w:val="auto"/>
              </w:rPr>
            </w:pPr>
          </w:p>
        </w:tc>
      </w:tr>
      <w:tr>
        <w:trPr>
          <w:trHeight w:val="223"/>
        </w:trPr>
        <w:tc>
          <w:tcPr>
            <w:tcW w:w="4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2021 - January 31, 2021</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2021 - February 28, 2021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20" w:type="dxa"/>
            <w:vAlign w:val="bottom"/>
          </w:tcPr>
          <w:p>
            <w:pPr>
              <w:spacing w:after="0"/>
              <w:rPr>
                <w:sz w:val="19"/>
                <w:szCs w:val="19"/>
                <w:color w:val="auto"/>
              </w:rPr>
            </w:pPr>
          </w:p>
        </w:tc>
        <w:tc>
          <w:tcPr>
            <w:tcW w:w="202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2021 - March 31,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20" w:type="dxa"/>
            <w:vAlign w:val="bottom"/>
          </w:tcPr>
          <w:p>
            <w:pPr>
              <w:spacing w:after="0"/>
              <w:rPr>
                <w:sz w:val="19"/>
                <w:szCs w:val="19"/>
                <w:color w:val="auto"/>
              </w:rPr>
            </w:pPr>
          </w:p>
        </w:tc>
        <w:tc>
          <w:tcPr>
            <w:tcW w:w="202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All shares reported were forfeited by employees in connection with the satisfaction of tax withholding obligations related to the vesting of restricted stock units.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7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color w:val="auto"/>
              </w:rPr>
              <w:t>Exhibit No.</w:t>
            </w:r>
          </w:p>
        </w:tc>
        <w:tc>
          <w:tcPr>
            <w:tcW w:w="784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 of Filing</w:t>
            </w:r>
          </w:p>
        </w:tc>
        <w:tc>
          <w:tcPr>
            <w:tcW w:w="0" w:type="dxa"/>
            <w:vAlign w:val="bottom"/>
          </w:tcPr>
          <w:p>
            <w:pPr>
              <w:spacing w:after="0"/>
              <w:rPr>
                <w:sz w:val="1"/>
                <w:szCs w:val="1"/>
                <w:color w:val="auto"/>
              </w:rPr>
            </w:pPr>
          </w:p>
        </w:tc>
      </w:tr>
      <w:tr>
        <w:trPr>
          <w:trHeight w:val="169"/>
        </w:trPr>
        <w:tc>
          <w:tcPr>
            <w:tcW w:w="9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780" w:type="dxa"/>
            <w:vAlign w:val="bottom"/>
            <w:gridSpan w:val="2"/>
          </w:tcPr>
          <w:p>
            <w:pPr>
              <w:jc w:val="right"/>
              <w:ind w:right="540"/>
              <w:spacing w:after="0" w:line="169" w:lineRule="exact"/>
              <w:rPr>
                <w:sz w:val="20"/>
                <w:szCs w:val="20"/>
                <w:color w:val="auto"/>
              </w:rPr>
            </w:pPr>
            <w:r>
              <w:rPr>
                <w:rFonts w:ascii="Times New Roman" w:cs="Times New Roman" w:eastAsia="Times New Roman" w:hAnsi="Times New Roman"/>
                <w:sz w:val="18"/>
                <w:szCs w:val="18"/>
                <w:color w:val="auto"/>
              </w:rPr>
              <w:t>(a)</w:t>
            </w:r>
          </w:p>
        </w:tc>
        <w:tc>
          <w:tcPr>
            <w:tcW w:w="7840" w:type="dxa"/>
            <w:vAlign w:val="bottom"/>
            <w:gridSpan w:val="17"/>
          </w:tcPr>
          <w:p>
            <w:pPr>
              <w:spacing w:after="0" w:line="169" w:lineRule="exact"/>
              <w:rPr>
                <w:sz w:val="20"/>
                <w:szCs w:val="20"/>
                <w:color w:val="auto"/>
              </w:rPr>
            </w:pPr>
            <w:r>
              <w:rPr>
                <w:rFonts w:ascii="Times New Roman" w:cs="Times New Roman" w:eastAsia="Times New Roman" w:hAnsi="Times New Roman"/>
                <w:sz w:val="18"/>
                <w:szCs w:val="18"/>
                <w:color w:val="auto"/>
              </w:rPr>
              <w:t>Restated Certificate of Incorporation of the Company, as amended (1)</w:t>
            </w:r>
          </w:p>
        </w:tc>
        <w:tc>
          <w:tcPr>
            <w:tcW w:w="1540" w:type="dxa"/>
            <w:vAlign w:val="bottom"/>
          </w:tcPr>
          <w:p>
            <w:pPr>
              <w:jc w:val="center"/>
              <w:ind w:left="30"/>
              <w:spacing w:after="0" w:line="16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414"/>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(b)</w:t>
            </w:r>
          </w:p>
        </w:tc>
        <w:tc>
          <w:tcPr>
            <w:tcW w:w="7840" w:type="dxa"/>
            <w:vAlign w:val="bottom"/>
            <w:gridSpan w:val="17"/>
          </w:tcPr>
          <w:p>
            <w:pPr>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 xml:space="preserve">Amended and Restated By-Laws of the Company </w:t>
              </w:r>
            </w:hyperlink>
            <w:r>
              <w:rPr>
                <w:rFonts w:ascii="Times New Roman" w:cs="Times New Roman" w:eastAsia="Times New Roman" w:hAnsi="Times New Roman"/>
                <w:sz w:val="18"/>
                <w:szCs w:val="18"/>
                <w:color w:val="000000"/>
              </w:rPr>
              <w:t>(2)</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4"/>
        </w:trPr>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1680" w:type="dxa"/>
            <w:vAlign w:val="bottom"/>
            <w:tcBorders>
              <w:top w:val="single" w:sz="8" w:color="0000FF"/>
            </w:tcBorders>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238"/>
        </w:trPr>
        <w:tc>
          <w:tcPr>
            <w:tcW w:w="172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10 (a)</w:t>
            </w:r>
          </w:p>
        </w:tc>
        <w:tc>
          <w:tcPr>
            <w:tcW w:w="7840" w:type="dxa"/>
            <w:vAlign w:val="bottom"/>
            <w:gridSpan w:val="17"/>
          </w:tcPr>
          <w:p>
            <w:pPr>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Purchase Agreement dated as of November 1, 2021 by and among Keith Charette, Steven Glaser, The Keith</w:t>
              </w:r>
            </w:hyperlink>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7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R. Charette DE Incomplete – Gift Non-Grantor Trust, Ventus Networks, LLC, Ventus Holdings, LLC,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tcPr>
          <w:p>
            <w:pPr>
              <w:jc w:val="center"/>
              <w:ind w:left="30"/>
              <w:spacing w:after="0" w:line="156"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320" w:type="dxa"/>
            <w:vAlign w:val="bottom"/>
            <w:tcBorders>
              <w:top w:val="single" w:sz="8" w:color="0000FF"/>
            </w:tcBorders>
            <w:gridSpan w:val="9"/>
          </w:tcPr>
          <w:p>
            <w:pPr>
              <w:spacing w:after="0" w:line="169" w:lineRule="exact"/>
              <w:rPr>
                <w:rFonts w:ascii="Times New Roman" w:cs="Times New Roman" w:eastAsia="Times New Roman" w:hAnsi="Times New Roman"/>
                <w:sz w:val="18"/>
                <w:szCs w:val="18"/>
                <w:color w:val="0000FF"/>
                <w:w w:val="98"/>
              </w:rPr>
            </w:pPr>
            <w:hyperlink r:id="rId49">
              <w:r>
                <w:rPr>
                  <w:rFonts w:ascii="Times New Roman" w:cs="Times New Roman" w:eastAsia="Times New Roman" w:hAnsi="Times New Roman"/>
                  <w:sz w:val="18"/>
                  <w:szCs w:val="18"/>
                  <w:color w:val="0000FF"/>
                  <w:w w:val="98"/>
                </w:rPr>
                <w:t>Ventus IP Holdings, LLC, Ventus Wireless Services, Inc., Ventus Wireless CA, Inc., VClipz, Inc., and</w:t>
              </w:r>
            </w:hyperlink>
          </w:p>
        </w:tc>
        <w:tc>
          <w:tcPr>
            <w:tcW w:w="520" w:type="dxa"/>
            <w:vAlign w:val="bottom"/>
            <w:gridSpan w:val="8"/>
          </w:tcPr>
          <w:p>
            <w:pPr>
              <w:ind w:left="40"/>
              <w:spacing w:after="0" w:line="169"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Digi</w:t>
              </w:r>
            </w:hyperlink>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8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 xml:space="preserve">International Inc. </w:t>
              </w:r>
              <w:r>
                <w:rPr>
                  <w:rFonts w:ascii="Times New Roman" w:cs="Times New Roman" w:eastAsia="Times New Roman" w:hAnsi="Times New Roman"/>
                  <w:sz w:val="18"/>
                  <w:szCs w:val="18"/>
                  <w:color w:val="000000"/>
                </w:rPr>
                <w:t>(3)</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20" w:type="dxa"/>
            <w:vAlign w:val="bottom"/>
            <w:gridSpan w:val="3"/>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10 (b)</w:t>
            </w:r>
          </w:p>
        </w:tc>
        <w:tc>
          <w:tcPr>
            <w:tcW w:w="7840" w:type="dxa"/>
            <w:vAlign w:val="bottom"/>
            <w:gridSpan w:val="17"/>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Second Amended and Restated Credit Agreement dated as of November 1, 2021, by and among Digi</w:t>
              </w:r>
            </w:hyperlink>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8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vMerge w:val="restart"/>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line="20" w:lineRule="exact"/>
              <w:rPr>
                <w:sz w:val="1"/>
                <w:szCs w:val="1"/>
                <w:color w:val="auto"/>
              </w:rPr>
            </w:pPr>
          </w:p>
        </w:tc>
      </w:tr>
      <w:tr>
        <w:trPr>
          <w:trHeight w:val="156"/>
        </w:trPr>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40" w:type="dxa"/>
            <w:vAlign w:val="bottom"/>
            <w:gridSpan w:val="17"/>
          </w:tcPr>
          <w:p>
            <w:pPr>
              <w:spacing w:after="0" w:line="15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International Inc., as the Borrower, BMO Harris Bank N.A., as administrative agent and collateral agent,</w:t>
              </w:r>
            </w:hyperlink>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8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40" w:type="dxa"/>
            <w:vAlign w:val="bottom"/>
            <w:gridSpan w:val="17"/>
          </w:tcPr>
          <w:p>
            <w:pPr>
              <w:spacing w:after="0" w:line="169"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BMO Capital Markets Corp., as sole lead arranger and book runner, and the other lenders from time to time</w:t>
              </w:r>
            </w:hyperlink>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7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 xml:space="preserve">party thereto. </w:t>
              </w:r>
              <w:r>
                <w:rPr>
                  <w:rFonts w:ascii="Times New Roman" w:cs="Times New Roman" w:eastAsia="Times New Roman" w:hAnsi="Times New Roman"/>
                  <w:sz w:val="18"/>
                  <w:szCs w:val="18"/>
                  <w:color w:val="000000"/>
                </w:rPr>
                <w:t>(4)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20" w:type="dxa"/>
            <w:vAlign w:val="bottom"/>
            <w:gridSpan w:val="3"/>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10 (c)</w:t>
            </w:r>
          </w:p>
        </w:tc>
        <w:tc>
          <w:tcPr>
            <w:tcW w:w="7840" w:type="dxa"/>
            <w:vAlign w:val="bottom"/>
            <w:gridSpan w:val="17"/>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Third Amended and Restated Credit Agreement dated December 22, 2021, by and among Digi International</w:t>
              </w:r>
            </w:hyperlink>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78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Inc. as the Borrower, BMO Harris Bank N.A., as the administrative agent and collateral agent, BMO Capital</w:t>
              </w:r>
            </w:hyperlink>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tcPr>
          <w:p>
            <w:pPr>
              <w:jc w:val="center"/>
              <w:ind w:left="30"/>
              <w:spacing w:after="0" w:line="156"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0" w:type="dxa"/>
            <w:vAlign w:val="bottom"/>
            <w:gridSpan w:val="16"/>
          </w:tcPr>
          <w:p>
            <w:pPr>
              <w:spacing w:after="0" w:line="169"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Markets Corp, as the sole lead arranger and book runner, and other lenders from time-to-time party thereto.</w:t>
              </w:r>
            </w:hyperlink>
          </w:p>
        </w:tc>
        <w:tc>
          <w:tcPr>
            <w:tcW w:w="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top w:val="single" w:sz="8" w:color="0000FF"/>
            </w:tcBorders>
          </w:tcPr>
          <w:p>
            <w:pPr>
              <w:spacing w:after="0"/>
              <w:rPr>
                <w:sz w:val="19"/>
                <w:szCs w:val="19"/>
                <w:color w:val="auto"/>
              </w:rPr>
            </w:pPr>
          </w:p>
        </w:tc>
        <w:tc>
          <w:tcPr>
            <w:tcW w:w="660" w:type="dxa"/>
            <w:vAlign w:val="bottom"/>
            <w:tcBorders>
              <w:top w:val="single" w:sz="8" w:color="0000FF"/>
            </w:tcBorders>
          </w:tcPr>
          <w:p>
            <w:pPr>
              <w:spacing w:after="0"/>
              <w:rPr>
                <w:sz w:val="19"/>
                <w:szCs w:val="19"/>
                <w:color w:val="auto"/>
              </w:rPr>
            </w:pPr>
          </w:p>
        </w:tc>
        <w:tc>
          <w:tcPr>
            <w:tcW w:w="1680" w:type="dxa"/>
            <w:vAlign w:val="bottom"/>
            <w:tcBorders>
              <w:top w:val="single" w:sz="8" w:color="0000FF"/>
            </w:tcBorders>
          </w:tcPr>
          <w:p>
            <w:pPr>
              <w:spacing w:after="0"/>
              <w:rPr>
                <w:sz w:val="19"/>
                <w:szCs w:val="19"/>
                <w:color w:val="auto"/>
              </w:rPr>
            </w:pPr>
          </w:p>
        </w:tc>
        <w:tc>
          <w:tcPr>
            <w:tcW w:w="11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860" w:type="dxa"/>
            <w:vAlign w:val="bottom"/>
            <w:tcBorders>
              <w:top w:val="single" w:sz="8" w:color="0000FF"/>
            </w:tcBorders>
          </w:tcPr>
          <w:p>
            <w:pPr>
              <w:spacing w:after="0"/>
              <w:rPr>
                <w:sz w:val="19"/>
                <w:szCs w:val="19"/>
                <w:color w:val="auto"/>
              </w:rPr>
            </w:pPr>
          </w:p>
        </w:tc>
        <w:tc>
          <w:tcPr>
            <w:tcW w:w="16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7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10 (d)</w:t>
            </w:r>
          </w:p>
        </w:tc>
        <w:tc>
          <w:tcPr>
            <w:tcW w:w="7840" w:type="dxa"/>
            <w:vAlign w:val="bottom"/>
            <w:gridSpan w:val="17"/>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 xml:space="preserve">Digi International Inc. 2021 Omnibus Incentive Plan, as amended and restated </w:t>
              </w:r>
            </w:hyperlink>
            <w:r>
              <w:rPr>
                <w:rFonts w:ascii="Times New Roman" w:cs="Times New Roman" w:eastAsia="Times New Roman" w:hAnsi="Times New Roman"/>
                <w:sz w:val="18"/>
                <w:szCs w:val="18"/>
                <w:color w:val="000000"/>
              </w:rPr>
              <w:t>(6)</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4"/>
        </w:trPr>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1680" w:type="dxa"/>
            <w:vAlign w:val="bottom"/>
            <w:tcBorders>
              <w:top w:val="single" w:sz="8" w:color="0000FF"/>
            </w:tcBorders>
          </w:tcPr>
          <w:p>
            <w:pPr>
              <w:spacing w:after="0"/>
              <w:rPr>
                <w:sz w:val="18"/>
                <w:szCs w:val="18"/>
                <w:color w:val="auto"/>
              </w:rPr>
            </w:pPr>
          </w:p>
        </w:tc>
        <w:tc>
          <w:tcPr>
            <w:tcW w:w="11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60" w:type="dxa"/>
            <w:vAlign w:val="bottom"/>
            <w:tcBorders>
              <w:top w:val="single" w:sz="8" w:color="0000FF"/>
            </w:tcBorders>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414"/>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(a)</w:t>
            </w:r>
          </w:p>
        </w:tc>
        <w:tc>
          <w:tcPr>
            <w:tcW w:w="4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Chief Executive Officer</w:t>
            </w:r>
          </w:p>
        </w:tc>
        <w:tc>
          <w:tcPr>
            <w:tcW w:w="3080" w:type="dxa"/>
            <w:vAlign w:val="bottom"/>
            <w:gridSpan w:val="11"/>
          </w:tcPr>
          <w:p>
            <w:pPr>
              <w:spacing w:after="0"/>
              <w:rPr>
                <w:sz w:val="24"/>
                <w:szCs w:val="24"/>
                <w:color w:val="auto"/>
              </w:rPr>
            </w:pP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439"/>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(b)</w:t>
            </w:r>
          </w:p>
        </w:tc>
        <w:tc>
          <w:tcPr>
            <w:tcW w:w="78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Rule 13a-14(a)/15d-14(a) Certification of Chief Financial Officer</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439"/>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Section 1350 Certification</w:t>
            </w:r>
          </w:p>
        </w:tc>
        <w:tc>
          <w:tcPr>
            <w:tcW w:w="2800" w:type="dxa"/>
            <w:vAlign w:val="bottom"/>
            <w:tcBorders>
              <w:top w:val="single" w:sz="8" w:color="0000FF"/>
            </w:tcBorders>
            <w:gridSpan w:val="2"/>
          </w:tcPr>
          <w:p>
            <w:pPr>
              <w:spacing w:after="0"/>
              <w:rPr>
                <w:sz w:val="24"/>
                <w:szCs w:val="24"/>
                <w:color w:val="auto"/>
              </w:rPr>
            </w:pPr>
          </w:p>
        </w:tc>
        <w:tc>
          <w:tcPr>
            <w:tcW w:w="3140" w:type="dxa"/>
            <w:vAlign w:val="bottom"/>
            <w:gridSpan w:val="12"/>
          </w:tcPr>
          <w:p>
            <w:pPr>
              <w:spacing w:after="0"/>
              <w:rPr>
                <w:sz w:val="24"/>
                <w:szCs w:val="24"/>
                <w:color w:val="auto"/>
              </w:rPr>
            </w:pP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425"/>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The following materials from Digi International Inc.'s Quarterly Report on Form 10-Q for the fiscal period</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204"/>
        </w:trPr>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40" w:type="dxa"/>
            <w:vAlign w:val="bottom"/>
            <w:gridSpan w:val="17"/>
          </w:tcPr>
          <w:p>
            <w:pPr>
              <w:spacing w:after="0" w:line="204" w:lineRule="exact"/>
              <w:rPr>
                <w:sz w:val="20"/>
                <w:szCs w:val="20"/>
                <w:color w:val="auto"/>
              </w:rPr>
            </w:pPr>
            <w:r>
              <w:rPr>
                <w:rFonts w:ascii="Times New Roman" w:cs="Times New Roman" w:eastAsia="Times New Roman" w:hAnsi="Times New Roman"/>
                <w:sz w:val="18"/>
                <w:szCs w:val="18"/>
                <w:color w:val="auto"/>
              </w:rPr>
              <w:t>ended March 31, 2022, as filed with the Security and Exchange Commission, formatted in iXBRL (Inline</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20" w:right="1640"/>
        <w:spacing w:after="0" w:line="220" w:lineRule="auto"/>
        <w:rPr>
          <w:sz w:val="20"/>
          <w:szCs w:val="20"/>
          <w:color w:val="auto"/>
        </w:rPr>
      </w:pPr>
      <w:r>
        <w:rPr>
          <w:rFonts w:ascii="Times New Roman" w:cs="Times New Roman" w:eastAsia="Times New Roman" w:hAnsi="Times New Roman"/>
          <w:sz w:val="17"/>
          <w:szCs w:val="17"/>
          <w:color w:val="auto"/>
        </w:rPr>
        <w:t>eXtensible Business Reporting Language): (i) Condensed Consolidated Statements of Operations; (ii) Condensed Consolidated Statements of Comprehensive Income; (iii) Condensed Consolidated Balance Sheets; (iv) Condensed Consolidated Statements of Cash Flows; (v) Condensed Consolidated Statements of</w:t>
      </w:r>
    </w:p>
    <w:p>
      <w:pPr>
        <w:spacing w:after="0" w:line="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Stockholders' Equity; and (vi) the Notes to the Condensed Consolidated Financial Statements.</w:t>
      </w:r>
    </w:p>
    <w:p>
      <w:pPr>
        <w:spacing w:after="0" w:line="232" w:lineRule="exact"/>
        <w:rPr>
          <w:sz w:val="20"/>
          <w:szCs w:val="20"/>
          <w:color w:val="auto"/>
        </w:rPr>
      </w:pPr>
    </w:p>
    <w:p>
      <w:pPr>
        <w:ind w:left="1720" w:right="1780" w:hanging="1095"/>
        <w:spacing w:after="0" w:line="237" w:lineRule="auto"/>
        <w:tabs>
          <w:tab w:leader="none" w:pos="1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Digi International Inc.'s Quarterly Report on Form 10-Q for the period ended March 31, 2022 is formatted in iXBRL (included in Exhibit 101).</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ind w:right="380" w:firstLine="8"/>
        <w:spacing w:after="0" w:line="262" w:lineRule="auto"/>
        <w:tabs>
          <w:tab w:leader="none" w:pos="121"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have been omitted pursuant to Item 601(a)(5) of Regulation S-K. Digi agrees to furnish to the Commission a copy of any omitted schedule upon request. ** Management contract or compensatory plan or arrangement required to be filed as an exhibit to this Form 10-Q.</w:t>
      </w:r>
    </w:p>
    <w:p>
      <w:pPr>
        <w:spacing w:after="0" w:line="200"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3(a) to the Company's Annual Report on Form 10-K for the year ended September 30, 1993.</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the Company's Current Report on Form 8-K filed on April 30, 2020.</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2.1 to the Company's Current Report on Form 8-K filed on November 2, 2021.</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to the Company's Current Report on Form 8-K filed on November 2, 2021.</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to the Company's Current Report on Form 8-K filed on December 23, 2021.</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to the Company's Current Report on Form 8-K filed on February 2, 2022.</w:t>
      </w:r>
    </w:p>
    <w:p>
      <w:pPr>
        <w:spacing w:after="0" w:line="200" w:lineRule="exact"/>
        <w:rPr>
          <w:sz w:val="20"/>
          <w:szCs w:val="20"/>
          <w:color w:val="auto"/>
        </w:rPr>
      </w:pPr>
    </w:p>
    <w:p>
      <w:pPr>
        <w:spacing w:after="0" w:line="3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SIGNATURE</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DIGI INTERNATIONAL INC.</w:t>
      </w:r>
    </w:p>
    <w:p>
      <w:pPr>
        <w:spacing w:after="0" w:line="212" w:lineRule="exact"/>
        <w:rPr>
          <w:sz w:val="20"/>
          <w:szCs w:val="20"/>
          <w:color w:val="auto"/>
        </w:rPr>
      </w:pPr>
    </w:p>
    <w:p>
      <w:pPr>
        <w:ind w:left="20"/>
        <w:spacing w:after="0"/>
        <w:tabs>
          <w:tab w:leader="none" w:pos="700" w:val="left"/>
          <w:tab w:leader="none" w:pos="4720" w:val="left"/>
          <w:tab w:leader="none" w:pos="54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J. 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17145</wp:posOffset>
            </wp:positionV>
            <wp:extent cx="31457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James J. Loch</w:t>
      </w:r>
    </w:p>
    <w:p>
      <w:pPr>
        <w:spacing w:after="0" w:line="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ind w:left="5460"/>
        <w:spacing w:after="0"/>
        <w:rPr>
          <w:sz w:val="20"/>
          <w:szCs w:val="20"/>
          <w:color w:val="auto"/>
        </w:rPr>
      </w:pPr>
      <w:r>
        <w:rPr>
          <w:rFonts w:ascii="Times New Roman" w:cs="Times New Roman" w:eastAsia="Times New Roman" w:hAnsi="Times New Roman"/>
          <w:sz w:val="18"/>
          <w:szCs w:val="18"/>
          <w:color w:val="auto"/>
        </w:rPr>
        <w:t>(Principal Financial Officer and Authorized Officer)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400"/>
          </w:cols>
          <w:pgMar w:left="320" w:top="121" w:right="117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No. 31(a)</w:t>
      </w:r>
    </w:p>
    <w:p>
      <w:pPr>
        <w:spacing w:after="0" w:line="2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Ronald E. Konezny, certify that:</w:t>
      </w:r>
    </w:p>
    <w:p>
      <w:pPr>
        <w:spacing w:after="0" w:line="252" w:lineRule="exact"/>
        <w:rPr>
          <w:sz w:val="20"/>
          <w:szCs w:val="20"/>
          <w:color w:val="auto"/>
        </w:rPr>
      </w:pPr>
    </w:p>
    <w:p>
      <w:pPr>
        <w:ind w:left="180" w:hanging="172"/>
        <w:spacing w:after="0"/>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Digi International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80" w:firstLine="8"/>
        <w:spacing w:after="0" w:line="266" w:lineRule="auto"/>
        <w:tabs>
          <w:tab w:leader="none" w:pos="24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60" w:firstLine="8"/>
        <w:spacing w:after="0" w:line="282" w:lineRule="auto"/>
        <w:tabs>
          <w:tab w:leader="none" w:pos="24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200" w:firstLine="8"/>
        <w:spacing w:after="0" w:line="266" w:lineRule="auto"/>
        <w:tabs>
          <w:tab w:leader="none" w:pos="2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420" w:firstLine="8"/>
        <w:spacing w:after="0" w:line="282" w:lineRule="auto"/>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60" w:firstLine="8"/>
        <w:spacing w:after="0" w:line="282" w:lineRule="auto"/>
        <w:tabs>
          <w:tab w:leader="none" w:pos="2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20" w:firstLine="8"/>
        <w:spacing w:after="0" w:line="282" w:lineRule="auto"/>
        <w:tabs>
          <w:tab w:leader="none" w:pos="24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May 6, 2022</w:t>
            </w:r>
          </w:p>
        </w:tc>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Ronald E. Konezny</w:t>
            </w:r>
          </w:p>
        </w:tc>
      </w:tr>
      <w:tr>
        <w:trPr>
          <w:trHeight w:val="218"/>
        </w:trPr>
        <w:tc>
          <w:tcPr>
            <w:tcW w:w="502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Ronald E. Konezny</w:t>
            </w:r>
          </w:p>
        </w:tc>
      </w:tr>
      <w:tr>
        <w:trPr>
          <w:trHeight w:val="234"/>
        </w:trPr>
        <w:tc>
          <w:tcPr>
            <w:tcW w:w="502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No. 31(b)</w:t>
      </w:r>
    </w:p>
    <w:p>
      <w:pPr>
        <w:spacing w:after="0" w:line="2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J. Loch, certify that:</w:t>
      </w:r>
    </w:p>
    <w:p>
      <w:pPr>
        <w:spacing w:after="0" w:line="252" w:lineRule="exact"/>
        <w:rPr>
          <w:sz w:val="20"/>
          <w:szCs w:val="20"/>
          <w:color w:val="auto"/>
        </w:rPr>
      </w:pPr>
    </w:p>
    <w:p>
      <w:pPr>
        <w:ind w:left="180" w:hanging="172"/>
        <w:spacing w:after="0"/>
        <w:tabs>
          <w:tab w:leader="none" w:pos="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Digi International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80" w:firstLine="8"/>
        <w:spacing w:after="0" w:line="266" w:lineRule="auto"/>
        <w:tabs>
          <w:tab w:leader="none" w:pos="24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60" w:firstLine="8"/>
        <w:spacing w:after="0" w:line="282" w:lineRule="auto"/>
        <w:tabs>
          <w:tab w:leader="none" w:pos="24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200" w:firstLine="8"/>
        <w:spacing w:after="0" w:line="266" w:lineRule="auto"/>
        <w:tabs>
          <w:tab w:leader="none" w:pos="2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420" w:firstLine="8"/>
        <w:spacing w:after="0" w:line="282" w:lineRule="auto"/>
        <w:tabs>
          <w:tab w:leader="none" w:pos="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60" w:firstLine="8"/>
        <w:spacing w:after="0" w:line="282" w:lineRule="auto"/>
        <w:tabs>
          <w:tab w:leader="none" w:pos="2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20" w:firstLine="8"/>
        <w:spacing w:after="0" w:line="282" w:lineRule="auto"/>
        <w:tabs>
          <w:tab w:leader="none" w:pos="24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May 6, 2022</w:t>
            </w:r>
          </w:p>
        </w:tc>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J. Loch</w:t>
            </w:r>
          </w:p>
        </w:tc>
      </w:tr>
      <w:tr>
        <w:trPr>
          <w:trHeight w:val="218"/>
        </w:trPr>
        <w:tc>
          <w:tcPr>
            <w:tcW w:w="502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J. Loch</w:t>
            </w:r>
          </w:p>
        </w:tc>
      </w:tr>
      <w:tr>
        <w:trPr>
          <w:trHeight w:val="234"/>
        </w:trPr>
        <w:tc>
          <w:tcPr>
            <w:tcW w:w="502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tc>
      </w:tr>
    </w:tbl>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No.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Digi International Inc. (the Registrant) on Form 10-Q for the fiscal quarter ended March 31, 2022 as filed with the Securities and Exchange Commission on the date hereof, each of the undersigned certifies, pursuant to 18 U.S.C. §1350, as adopted pursuant to §906 of the Sarbanes-Oxley Act of 2002, that:</w:t>
      </w:r>
    </w:p>
    <w:p>
      <w:pPr>
        <w:spacing w:after="0" w:line="203" w:lineRule="exact"/>
        <w:rPr>
          <w:sz w:val="20"/>
          <w:szCs w:val="20"/>
          <w:color w:val="auto"/>
        </w:rPr>
      </w:pPr>
    </w:p>
    <w:p>
      <w:pPr>
        <w:ind w:left="260" w:hanging="252"/>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right="760" w:firstLine="8"/>
        <w:spacing w:after="0" w:line="282" w:lineRule="auto"/>
        <w:tabs>
          <w:tab w:leader="none" w:pos="25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on Form 10-Q fairly presents, in all material respects, the financial condition and results of operations of the Registrant.</w:t>
      </w: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6, 2022</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Ronald E. Konezny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14605</wp:posOffset>
            </wp:positionV>
            <wp:extent cx="36518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1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Ronald E. Konezny</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4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James J. 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17145</wp:posOffset>
            </wp:positionV>
            <wp:extent cx="36518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1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James J. Loch</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6"/>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1"/>
      <w:numFmt w:val="decimal"/>
      <w:start w:val="104"/>
    </w:lvl>
  </w:abstractNum>
  <w:abstractNum w:abstractNumId="29">
    <w:nsid w:val="419AC241"/>
    <w:multiLevelType w:val="hybridMultilevel"/>
    <w:lvl w:ilvl="0">
      <w:lvlJc w:val="left"/>
      <w:lvlText w:val="*"/>
      <w:numFmt w:val="bullet"/>
      <w:start w:val="1"/>
    </w:lvl>
    <w:lvl w:ilvl="1">
      <w:lvlJc w:val="left"/>
      <w:lvlText w:val="(%2)"/>
      <w:numFmt w:val="decimal"/>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1."/>
      <w:numFmt w:val="decimal"/>
      <w:start w:val="5"/>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lowerLetter"/>
      <w:start w:val="1"/>
    </w:lvl>
  </w:abstractNum>
  <w:abstractNum w:abstractNumId="36">
    <w:nsid w:val="5C482A97"/>
    <w:multiLevelType w:val="hybridMultilevel"/>
    <w:lvl w:ilvl="0">
      <w:lvlJc w:val="left"/>
      <w:lvlText w:val="%1."/>
      <w:numFmt w:val="decimal"/>
      <w:start w:val="5"/>
    </w:lvl>
  </w:abstractNum>
  <w:abstractNum w:abstractNumId="37">
    <w:nsid w:val="2463B9EA"/>
    <w:multiLevelType w:val="hybridMultilevel"/>
    <w:lvl w:ilvl="0">
      <w:lvlJc w:val="left"/>
      <w:lvlText w:val="(%1)"/>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18" Type="http://schemas.openxmlformats.org/officeDocument/2006/relationships/hyperlink" Target="http://www.sec.gov/ix?doc=/Archives/edgar/data/854775/000085477521000018/dgii-20210930.htm" TargetMode="External"/><Relationship Id="rId48" Type="http://schemas.openxmlformats.org/officeDocument/2006/relationships/hyperlink" Target="http://www.sec.gov/Archives/edgar/data/854775/000110465920054438/tm2018116d1_ex3-1.htm" TargetMode="External"/><Relationship Id="rId49" Type="http://schemas.openxmlformats.org/officeDocument/2006/relationships/hyperlink" Target="http://www.sec.gov/Archives/edgar/data/854775/000110465921132717/tm2131473d1_ex2-1.htm" TargetMode="External"/><Relationship Id="rId50" Type="http://schemas.openxmlformats.org/officeDocument/2006/relationships/hyperlink" Target="http://www.sec.gov/Archives/edgar/data/0000854775/000110465921132717/tm2131473d1_ex10-1.htm" TargetMode="External"/><Relationship Id="rId51" Type="http://schemas.openxmlformats.org/officeDocument/2006/relationships/hyperlink" Target="http://www.sec.gov/Archives/edgar/data/854775/000110465921132717/tm2131473d1_ex10-1.htm" TargetMode="External"/><Relationship Id="rId52" Type="http://schemas.openxmlformats.org/officeDocument/2006/relationships/hyperlink" Target="http://www.sec.gov/Archives/edgar/data/0000854775/000110465922010912/tm225122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2022-05-06T14:50:46Z</dcterms:created>
  <dcterms:modified xsi:type="dcterms:W3CDTF">2022-05-06T14:50:46Z</dcterms:modified>
</cp:coreProperties>
</file>