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68"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December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100"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Arial" w:cs="Arial" w:eastAsia="Arial" w:hAnsi="Arial"/>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63500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DIGI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gridSpan w:val="2"/>
          </w:tcPr>
          <w:p>
            <w:pPr>
              <w:spacing w:after="0"/>
              <w:rPr>
                <w:sz w:val="18"/>
                <w:szCs w:val="18"/>
                <w:color w:val="auto"/>
              </w:rPr>
            </w:pPr>
          </w:p>
        </w:tc>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41-1532464</w:t>
            </w:r>
          </w:p>
        </w:tc>
      </w:tr>
      <w:tr>
        <w:trPr>
          <w:trHeight w:val="206"/>
        </w:trPr>
        <w:tc>
          <w:tcPr>
            <w:tcW w:w="5760" w:type="dxa"/>
            <w:vAlign w:val="bottom"/>
            <w:gridSpan w:val="3"/>
          </w:tcPr>
          <w:p>
            <w:pPr>
              <w:jc w:val="center"/>
              <w:ind w:right="2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324"/>
        </w:trPr>
        <w:tc>
          <w:tcPr>
            <w:tcW w:w="5760" w:type="dxa"/>
            <w:vAlign w:val="bottom"/>
            <w:gridSpan w:val="3"/>
          </w:tcPr>
          <w:p>
            <w:pPr>
              <w:ind w:left="1340"/>
              <w:spacing w:after="0"/>
              <w:rPr>
                <w:sz w:val="20"/>
                <w:szCs w:val="20"/>
                <w:color w:val="auto"/>
              </w:rPr>
            </w:pPr>
            <w:r>
              <w:rPr>
                <w:rFonts w:ascii="Arial" w:cs="Arial" w:eastAsia="Arial" w:hAnsi="Arial"/>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500" w:type="dxa"/>
            <w:vAlign w:val="bottom"/>
            <w:tcBorders>
              <w:bottom w:val="single" w:sz="8" w:color="auto"/>
            </w:tcBorders>
            <w:gridSpan w:val="2"/>
          </w:tcPr>
          <w:p>
            <w:pPr>
              <w:ind w:left="2160"/>
              <w:spacing w:after="0"/>
              <w:rPr>
                <w:sz w:val="20"/>
                <w:szCs w:val="20"/>
                <w:color w:val="auto"/>
              </w:rPr>
            </w:pPr>
            <w:r>
              <w:rPr>
                <w:rFonts w:ascii="Arial" w:cs="Arial" w:eastAsia="Arial" w:hAnsi="Arial"/>
                <w:sz w:val="16"/>
                <w:szCs w:val="16"/>
                <w:b w:val="1"/>
                <w:bCs w:val="1"/>
                <w:color w:val="auto"/>
              </w:rPr>
              <w:t>Hopkins Minnesota</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55343</w:t>
            </w:r>
          </w:p>
        </w:tc>
      </w:tr>
      <w:tr>
        <w:trPr>
          <w:trHeight w:val="207"/>
        </w:trPr>
        <w:tc>
          <w:tcPr>
            <w:tcW w:w="576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9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32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24"/>
                <w:szCs w:val="2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00" w:type="dxa"/>
            <w:vAlign w:val="bottom"/>
          </w:tcPr>
          <w:p>
            <w:pPr>
              <w:spacing w:after="0"/>
              <w:rPr>
                <w:sz w:val="24"/>
                <w:szCs w:val="24"/>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9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$.01 per share</w:t>
            </w:r>
          </w:p>
        </w:tc>
        <w:tc>
          <w:tcPr>
            <w:tcW w:w="3260" w:type="dxa"/>
            <w:vAlign w:val="bottom"/>
            <w:gridSpan w:val="2"/>
          </w:tcPr>
          <w:p>
            <w:pPr>
              <w:jc w:val="center"/>
              <w:ind w:right="80"/>
              <w:spacing w:after="0"/>
              <w:rPr>
                <w:sz w:val="20"/>
                <w:szCs w:val="20"/>
                <w:color w:val="auto"/>
              </w:rPr>
            </w:pPr>
            <w:r>
              <w:rPr>
                <w:rFonts w:ascii="Arial" w:cs="Arial" w:eastAsia="Arial" w:hAnsi="Arial"/>
                <w:sz w:val="16"/>
                <w:szCs w:val="16"/>
                <w:color w:val="auto"/>
              </w:rPr>
              <w:t>DGII</w:t>
            </w:r>
          </w:p>
        </w:tc>
        <w:tc>
          <w:tcPr>
            <w:tcW w:w="40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0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2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ind w:right="366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On February 1, 2022, there were 34,994,099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Page</w:t>
            </w:r>
          </w:p>
        </w:tc>
      </w:tr>
      <w:tr>
        <w:trPr>
          <w:trHeight w:val="183"/>
        </w:trPr>
        <w:tc>
          <w:tcPr>
            <w:tcW w:w="9860" w:type="dxa"/>
            <w:vAlign w:val="bottom"/>
            <w:gridSpan w:val="18"/>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ITEM 1. Unaudited Financial Statements:</w:t>
              </w:r>
            </w:hyperlink>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(Loss)</w:t>
              </w:r>
            </w:hyperlink>
          </w:p>
        </w:tc>
        <w:tc>
          <w:tcPr>
            <w:tcW w:w="464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Notes to Condensed Consolidated Financial Statements</w:t>
              </w:r>
            </w:hyperlink>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132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3. Quantitative and Qualitative Disclosures About Market Risk</w:t>
              </w:r>
            </w:hyperlink>
          </w:p>
        </w:tc>
        <w:tc>
          <w:tcPr>
            <w:tcW w:w="210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ITEM 4. Controls and Procedures</w:t>
              </w:r>
            </w:hyperlink>
          </w:p>
        </w:tc>
        <w:tc>
          <w:tcPr>
            <w:tcW w:w="2580" w:type="dxa"/>
            <w:vAlign w:val="bottom"/>
            <w:gridSpan w:val="10"/>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PART II. OTHER INFORMATION</w:t>
              </w:r>
            </w:hyperlink>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1. Legal Proceedings</w:t>
              </w:r>
            </w:hyperlink>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1A. Risk Factors</w:t>
              </w:r>
            </w:hyperlink>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2. Unregistered Sales of Equity Securities and Use of Proceeds</w:t>
              </w:r>
            </w:hyperlink>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3. Defaults Upon Senior Securities</w:t>
              </w:r>
            </w:hyperlink>
          </w:p>
        </w:tc>
        <w:tc>
          <w:tcPr>
            <w:tcW w:w="2020" w:type="dxa"/>
            <w:vAlign w:val="bottom"/>
            <w:gridSpan w:val="7"/>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4. Mine Safety Disclosures</w:t>
              </w:r>
            </w:hyperlink>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5. Other Information</w:t>
              </w:r>
            </w:hyperlink>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ITEM 6. Exhibits</w:t>
              </w:r>
            </w:hyperlink>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7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color w:val="auto"/>
              </w:rPr>
              <w:t>Three months ended December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color w:val="auto"/>
              </w:rPr>
              <w:t>(in thousands, except per share data)</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Product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63,798</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62,604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10,542</w:t>
            </w:r>
          </w:p>
        </w:tc>
        <w:tc>
          <w:tcPr>
            <w:tcW w:w="0" w:type="dxa"/>
            <w:vAlign w:val="bottom"/>
          </w:tcPr>
          <w:p>
            <w:pPr>
              <w:spacing w:after="0"/>
              <w:rPr>
                <w:sz w:val="1"/>
                <w:szCs w:val="1"/>
                <w:color w:val="auto"/>
              </w:rPr>
            </w:pPr>
          </w:p>
        </w:tc>
      </w:tr>
      <w:tr>
        <w:trPr>
          <w:trHeight w:val="206"/>
        </w:trPr>
        <w:tc>
          <w:tcPr>
            <w:tcW w:w="76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84,257</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73,146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Cost of product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29,239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27,776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service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sales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36,376</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32,127</w:t>
            </w: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47,881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41,019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15,319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15,242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44,082</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(4,903)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6"/>
                <w:szCs w:val="16"/>
                <w:color w:val="auto"/>
              </w:rPr>
              <w:t>Basic</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35,767</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Three months ended December 31,</w:t>
            </w:r>
          </w:p>
        </w:tc>
        <w:tc>
          <w:tcPr>
            <w:tcW w:w="640" w:type="dxa"/>
            <w:vAlign w:val="bottom"/>
            <w:tcBorders>
              <w:bottom w:val="single" w:sz="8" w:color="auto"/>
            </w:tcBorders>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2020</w:t>
            </w:r>
          </w:p>
        </w:tc>
        <w:tc>
          <w:tcPr>
            <w:tcW w:w="640" w:type="dxa"/>
            <w:vAlign w:val="bottom"/>
            <w:tcBorders>
              <w:bottom w:val="single" w:sz="8" w:color="auto"/>
            </w:tcBorders>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gridSpan w:val="3"/>
          </w:tcPr>
          <w:p>
            <w:pPr>
              <w:jc w:val="right"/>
              <w:ind w:right="879"/>
              <w:spacing w:after="0"/>
              <w:rPr>
                <w:sz w:val="20"/>
                <w:szCs w:val="20"/>
                <w:color w:val="auto"/>
              </w:rPr>
            </w:pPr>
            <w:r>
              <w:rPr>
                <w:rFonts w:ascii="Arial" w:cs="Arial" w:eastAsia="Arial" w:hAnsi="Arial"/>
                <w:sz w:val="16"/>
                <w:szCs w:val="16"/>
                <w:color w:val="auto"/>
              </w:rPr>
              <w:t>(in thousands)</w:t>
            </w:r>
          </w:p>
        </w:tc>
        <w:tc>
          <w:tcPr>
            <w:tcW w:w="640" w:type="dxa"/>
            <w:vAlign w:val="bottom"/>
          </w:tcPr>
          <w:p>
            <w:pPr>
              <w:spacing w:after="0"/>
              <w:rPr>
                <w:sz w:val="18"/>
                <w:szCs w:val="18"/>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w:t>
            </w:r>
          </w:p>
        </w:tc>
      </w:tr>
      <w:tr>
        <w:trPr>
          <w:trHeight w:val="206"/>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(loss) income</w:t>
            </w:r>
          </w:p>
        </w:tc>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December 31, 2021</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2"/>
              </w:rPr>
              <w:t>September 30, 2021</w:t>
            </w:r>
          </w:p>
        </w:tc>
      </w:tr>
      <w:tr>
        <w:trPr>
          <w:trHeight w:val="196"/>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4"/>
          </w:tcPr>
          <w:p>
            <w:pPr>
              <w:jc w:val="right"/>
              <w:ind w:right="624"/>
              <w:spacing w:after="0"/>
              <w:rPr>
                <w:sz w:val="20"/>
                <w:szCs w:val="20"/>
                <w:color w:val="auto"/>
              </w:rPr>
            </w:pPr>
            <w:r>
              <w:rPr>
                <w:rFonts w:ascii="Arial" w:cs="Arial" w:eastAsia="Arial" w:hAnsi="Arial"/>
                <w:sz w:val="15"/>
                <w:szCs w:val="15"/>
                <w:color w:val="auto"/>
              </w:rPr>
              <w:t>(in thousands, except share data)</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152,432</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49,359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43,738</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43,921</w:t>
            </w:r>
          </w:p>
        </w:tc>
      </w:tr>
      <w:tr>
        <w:trPr>
          <w:trHeight w:val="198"/>
        </w:trPr>
        <w:tc>
          <w:tcPr>
            <w:tcW w:w="780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Other current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6,567</w:t>
            </w:r>
          </w:p>
        </w:tc>
      </w:tr>
      <w:tr>
        <w:trPr>
          <w:trHeight w:val="200"/>
        </w:trPr>
        <w:tc>
          <w:tcPr>
            <w:tcW w:w="780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156,702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246,658</w:t>
            </w: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Property, equipment and improvements,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27,058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12,132</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15,684</w:t>
            </w: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Intangible assets,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322,794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118,029</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342,498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225,522</w:t>
            </w: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Deferred tax assets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439</w:t>
            </w:r>
          </w:p>
        </w:tc>
      </w:tr>
      <w:tr>
        <w:trPr>
          <w:trHeight w:val="20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w:t>
            </w:r>
          </w:p>
        </w:tc>
      </w:tr>
      <w:tr>
        <w:trPr>
          <w:trHeight w:val="200"/>
        </w:trPr>
        <w:tc>
          <w:tcPr>
            <w:tcW w:w="7800" w:type="dxa"/>
            <w:vAlign w:val="bottom"/>
            <w:gridSpan w:val="3"/>
          </w:tcPr>
          <w:p>
            <w:pPr>
              <w:ind w:left="560"/>
              <w:spacing w:after="0"/>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866,230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619,531</w:t>
            </w: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22,880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22,586</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Accrued compensation</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12,934</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Unearned revenue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22,136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13,589</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Contingent consideration on acquired businesses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Current portion of operating lease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2,633</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7,179</w:t>
            </w:r>
          </w:p>
        </w:tc>
      </w:tr>
      <w:tr>
        <w:trPr>
          <w:trHeight w:val="192"/>
        </w:trPr>
        <w:tc>
          <w:tcPr>
            <w:tcW w:w="7800" w:type="dxa"/>
            <w:vAlign w:val="bottom"/>
            <w:gridSpan w:val="3"/>
          </w:tcPr>
          <w:p>
            <w:pPr>
              <w:ind w:left="56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79,311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58,941</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Income taxes payable</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w:t>
            </w: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Deferred tax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14,794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13,493</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275,340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45,799</w:t>
            </w:r>
          </w:p>
        </w:tc>
      </w:tr>
      <w:tr>
        <w:trPr>
          <w:trHeight w:val="198"/>
        </w:trPr>
        <w:tc>
          <w:tcPr>
            <w:tcW w:w="7800" w:type="dxa"/>
            <w:vAlign w:val="bottom"/>
            <w:gridSpan w:val="3"/>
          </w:tcPr>
          <w:p>
            <w:pPr>
              <w:ind w:left="2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18,225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18,368</w:t>
            </w:r>
          </w:p>
        </w:tc>
      </w:tr>
      <w:tr>
        <w:trPr>
          <w:trHeight w:val="20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8,079</w:t>
            </w:r>
          </w:p>
        </w:tc>
      </w:tr>
      <w:tr>
        <w:trPr>
          <w:trHeight w:val="192"/>
        </w:trPr>
        <w:tc>
          <w:tcPr>
            <w:tcW w:w="7800" w:type="dxa"/>
            <w:vAlign w:val="bottom"/>
            <w:tcBorders>
              <w:bottom w:val="single" w:sz="8" w:color="CCEEFF"/>
            </w:tcBorders>
            <w:gridSpan w:val="3"/>
          </w:tcPr>
          <w:p>
            <w:pPr>
              <w:ind w:left="560"/>
              <w:spacing w:after="0"/>
              <w:rPr>
                <w:sz w:val="20"/>
                <w:szCs w:val="20"/>
                <w:color w:val="auto"/>
              </w:rPr>
            </w:pPr>
            <w:r>
              <w:rPr>
                <w:rFonts w:ascii="Arial" w:cs="Arial" w:eastAsia="Arial" w:hAnsi="Arial"/>
                <w:sz w:val="15"/>
                <w:szCs w:val="15"/>
                <w:color w:val="auto"/>
              </w:rPr>
              <w:t>Total liabilities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392,198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147,014</w:t>
            </w:r>
          </w:p>
        </w:tc>
      </w:tr>
      <w:tr>
        <w:trPr>
          <w:trHeight w:val="167"/>
        </w:trPr>
        <w:tc>
          <w:tcPr>
            <w:tcW w:w="7800" w:type="dxa"/>
            <w:vAlign w:val="bottom"/>
            <w:gridSpan w:val="3"/>
            <w:shd w:val="clear" w:color="auto" w:fill="CCEEFF"/>
          </w:tcPr>
          <w:p>
            <w:pPr>
              <w:ind w:left="20"/>
              <w:spacing w:after="0" w:line="146" w:lineRule="exact"/>
              <w:rPr>
                <w:rFonts w:ascii="Arial" w:cs="Arial" w:eastAsia="Arial" w:hAnsi="Arial"/>
                <w:sz w:val="15"/>
                <w:szCs w:val="15"/>
                <w:color w:val="auto"/>
              </w:rPr>
            </w:pPr>
            <w:r>
              <w:rPr>
                <w:rFonts w:ascii="Arial" w:cs="Arial" w:eastAsia="Arial" w:hAnsi="Arial"/>
                <w:sz w:val="15"/>
                <w:szCs w:val="15"/>
                <w:color w:val="auto"/>
              </w:rPr>
              <w:t xml:space="preserve">Commitments and Contingencies (See </w:t>
            </w:r>
            <w:hyperlink w:anchor="page19">
              <w:r>
                <w:rPr>
                  <w:rFonts w:ascii="Arial" w:cs="Arial" w:eastAsia="Arial" w:hAnsi="Arial"/>
                  <w:sz w:val="15"/>
                  <w:szCs w:val="15"/>
                  <w:color w:val="0000FF"/>
                </w:rPr>
                <w:t>Note 13</w:t>
              </w:r>
            </w:hyperlink>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98"/>
        </w:trPr>
        <w:tc>
          <w:tcPr>
            <w:tcW w:w="242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Stockholders' equity:</w:t>
            </w:r>
          </w:p>
        </w:tc>
        <w:tc>
          <w:tcPr>
            <w:tcW w:w="480" w:type="dxa"/>
            <w:vAlign w:val="bottom"/>
            <w:tcBorders>
              <w:top w:val="single" w:sz="8" w:color="0000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Preferred stock, $.01 par value; 2,000,000 shares authorized; none issued and outstanding</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Common stock, $.01 par value; 60,000,000 shares authorized; 41,412,712 and 40,653,035 shares issued</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372,797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370,699</w:t>
            </w:r>
          </w:p>
        </w:tc>
      </w:tr>
      <w:tr>
        <w:trPr>
          <w:trHeight w:val="198"/>
        </w:trPr>
        <w:tc>
          <w:tcPr>
            <w:tcW w:w="7800" w:type="dxa"/>
            <w:vAlign w:val="bottom"/>
            <w:gridSpan w:val="3"/>
          </w:tcPr>
          <w:p>
            <w:pPr>
              <w:ind w:left="140"/>
              <w:spacing w:after="0"/>
              <w:rPr>
                <w:sz w:val="20"/>
                <w:szCs w:val="20"/>
                <w:color w:val="auto"/>
              </w:rPr>
            </w:pPr>
            <w:r>
              <w:rPr>
                <w:rFonts w:ascii="Arial" w:cs="Arial" w:eastAsia="Arial" w:hAnsi="Arial"/>
                <w:sz w:val="15"/>
                <w:szCs w:val="15"/>
                <w:color w:val="auto"/>
              </w:rPr>
              <w:t>Retained earnings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181,879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180,692</w:t>
            </w:r>
          </w:p>
        </w:tc>
      </w:tr>
      <w:tr>
        <w:trPr>
          <w:trHeight w:val="20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(22,746)</w:t>
            </w:r>
          </w:p>
        </w:tc>
      </w:tr>
      <w:tr>
        <w:trPr>
          <w:trHeight w:val="198"/>
        </w:trPr>
        <w:tc>
          <w:tcPr>
            <w:tcW w:w="780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Treasury stock, at cost, 6,447,449 and 6,390,645 shares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(56,535)</w:t>
            </w:r>
          </w:p>
        </w:tc>
      </w:tr>
      <w:tr>
        <w:trPr>
          <w:trHeight w:val="196"/>
        </w:trPr>
        <w:tc>
          <w:tcPr>
            <w:tcW w:w="780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474,032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472,517</w:t>
            </w:r>
          </w:p>
        </w:tc>
      </w:tr>
      <w:tr>
        <w:trPr>
          <w:trHeight w:val="200"/>
        </w:trPr>
        <w:tc>
          <w:tcPr>
            <w:tcW w:w="7800" w:type="dxa"/>
            <w:vAlign w:val="bottom"/>
            <w:gridSpan w:val="3"/>
          </w:tcPr>
          <w:p>
            <w:pPr>
              <w:ind w:left="360"/>
              <w:spacing w:after="0"/>
              <w:rPr>
                <w:sz w:val="20"/>
                <w:szCs w:val="20"/>
                <w:color w:val="auto"/>
              </w:rPr>
            </w:pPr>
            <w:r>
              <w:rPr>
                <w:rFonts w:ascii="Arial" w:cs="Arial" w:eastAsia="Arial" w:hAnsi="Arial"/>
                <w:sz w:val="15"/>
                <w:szCs w:val="15"/>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866,230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619,531</w:t>
            </w:r>
          </w:p>
        </w:tc>
      </w:tr>
      <w:tr>
        <w:trPr>
          <w:trHeight w:val="20"/>
        </w:trPr>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7"/>
                <w:szCs w:val="17"/>
                <w:color w:val="auto"/>
                <w:w w:val="93"/>
              </w:rPr>
              <w:t>Three months ended December 31,</w:t>
            </w:r>
          </w:p>
        </w:tc>
      </w:tr>
      <w:tr>
        <w:trPr>
          <w:trHeight w:val="212"/>
        </w:trPr>
        <w:tc>
          <w:tcPr>
            <w:tcW w:w="8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9"/>
        </w:trPr>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1,187</w:t>
            </w:r>
          </w:p>
        </w:tc>
        <w:tc>
          <w:tcPr>
            <w:tcW w:w="12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to net cash (used for) provided by operating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Depreciation of property, equipment and improvements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1,089</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intangible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Stock-based compensation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1,745</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income tax provision</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5,772</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Provision for bad debt and product returns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Provision for inventory obsolescence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Restructuring charge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 (net of acquisitions)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(23,831)</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(5,631)</w:t>
            </w:r>
          </w:p>
        </w:tc>
      </w:tr>
      <w:tr>
        <w:trPr>
          <w:trHeight w:val="210"/>
        </w:trPr>
        <w:tc>
          <w:tcPr>
            <w:tcW w:w="804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Net cash (used for) provided by operating activities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Acquisition of businesses, net of cash acquired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(347,593)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property, equipment, improvements and certain other intangible assets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w:t>
            </w:r>
          </w:p>
        </w:tc>
      </w:tr>
      <w:tr>
        <w:trPr>
          <w:trHeight w:val="209"/>
        </w:trPr>
        <w:tc>
          <w:tcPr>
            <w:tcW w:w="804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(348,047)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Proceeds from 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350,000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on long-term debt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(15,625)</w:t>
            </w: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Proceeds from stock option plan transactions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3,944</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employee stock purchase plan transactions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r>
      <w:tr>
        <w:trPr>
          <w:trHeight w:val="216"/>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Taxes paid for net share settlement of share-based payment options and awards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r>
      <w:tr>
        <w:trPr>
          <w:trHeight w:val="210"/>
        </w:trPr>
        <w:tc>
          <w:tcPr>
            <w:tcW w:w="8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cash provided by (used for) financing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252,724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(12,793)</w:t>
            </w:r>
          </w:p>
        </w:tc>
      </w:tr>
      <w:tr>
        <w:trPr>
          <w:trHeight w:val="21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(105,244)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(4,866)</w:t>
            </w:r>
          </w:p>
        </w:tc>
      </w:tr>
      <w:tr>
        <w:trPr>
          <w:trHeight w:val="21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152,432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54,129</w:t>
            </w: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47,188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schedule of non-cash investing and financing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8040" w:type="dxa"/>
            <w:vAlign w:val="bottom"/>
          </w:tcPr>
          <w:p>
            <w:pPr>
              <w:ind w:left="140"/>
              <w:spacing w:after="0" w:line="189" w:lineRule="exact"/>
              <w:rPr>
                <w:sz w:val="20"/>
                <w:szCs w:val="20"/>
                <w:color w:val="auto"/>
              </w:rPr>
            </w:pPr>
            <w:r>
              <w:rPr>
                <w:rFonts w:ascii="Arial" w:cs="Arial" w:eastAsia="Arial" w:hAnsi="Arial"/>
                <w:sz w:val="17"/>
                <w:szCs w:val="17"/>
                <w:color w:val="auto"/>
              </w:rPr>
              <w:t>Transfer of inventory to property, equipment and improvements</w:t>
            </w:r>
          </w:p>
        </w:tc>
        <w:tc>
          <w:tcPr>
            <w:tcW w:w="240" w:type="dxa"/>
            <w:vAlign w:val="bottom"/>
            <w:tcBorders>
              <w:bottom w:val="single" w:sz="8" w:color="auto"/>
            </w:tcBorders>
          </w:tcPr>
          <w:p>
            <w:pPr>
              <w:jc w:val="right"/>
              <w:ind w:right="54"/>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(699)</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4"/>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(882)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Tenant improvement allowance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140"/>
              <w:spacing w:after="0" w:line="190" w:lineRule="exact"/>
              <w:rPr>
                <w:sz w:val="20"/>
                <w:szCs w:val="20"/>
                <w:color w:val="auto"/>
              </w:rPr>
            </w:pPr>
            <w:r>
              <w:rPr>
                <w:rFonts w:ascii="Arial" w:cs="Arial" w:eastAsia="Arial" w:hAnsi="Arial"/>
                <w:sz w:val="17"/>
                <w:szCs w:val="17"/>
                <w:color w:val="auto"/>
              </w:rPr>
              <w:t>Accrual for purchase of property, equipment, improvements and certain other intangible assets</w:t>
            </w:r>
          </w:p>
        </w:tc>
        <w:tc>
          <w:tcPr>
            <w:tcW w:w="240" w:type="dxa"/>
            <w:vAlign w:val="bottom"/>
            <w:tcBorders>
              <w:bottom w:val="single" w:sz="8" w:color="auto"/>
            </w:tcBorders>
          </w:tcPr>
          <w:p>
            <w:pPr>
              <w:jc w:val="right"/>
              <w:ind w:right="54"/>
              <w:spacing w:after="0" w:line="190"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(16)</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4"/>
              <w:spacing w:after="0" w:line="190"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(452)</w:t>
            </w: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5"/>
                <w:szCs w:val="15"/>
                <w:color w:val="auto"/>
                <w:w w:val="93"/>
              </w:rPr>
              <w:t>Accum. Other</w:t>
            </w:r>
          </w:p>
        </w:tc>
        <w:tc>
          <w:tcPr>
            <w:tcW w:w="140" w:type="dxa"/>
            <w:vAlign w:val="bottom"/>
          </w:tcPr>
          <w:p>
            <w:pPr>
              <w:spacing w:after="0"/>
              <w:rPr>
                <w:sz w:val="16"/>
                <w:szCs w:val="16"/>
                <w:color w:val="auto"/>
              </w:rPr>
            </w:pPr>
          </w:p>
        </w:tc>
        <w:tc>
          <w:tcPr>
            <w:tcW w:w="1040" w:type="dxa"/>
            <w:vAlign w:val="bottom"/>
          </w:tcPr>
          <w:p>
            <w:pPr>
              <w:jc w:val="center"/>
              <w:ind w:right="84"/>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740" w:type="dxa"/>
            <w:vAlign w:val="bottom"/>
            <w:gridSpan w:val="5"/>
          </w:tcPr>
          <w:p>
            <w:pPr>
              <w:ind w:left="340"/>
              <w:spacing w:after="0"/>
              <w:rPr>
                <w:sz w:val="20"/>
                <w:szCs w:val="20"/>
                <w:color w:val="auto"/>
              </w:rPr>
            </w:pPr>
            <w:r>
              <w:rPr>
                <w:rFonts w:ascii="Arial" w:cs="Arial" w:eastAsia="Arial" w:hAnsi="Arial"/>
                <w:sz w:val="15"/>
                <w:szCs w:val="15"/>
                <w:color w:val="auto"/>
              </w:rPr>
              <w:t>Common Stock</w:t>
            </w:r>
          </w:p>
        </w:tc>
        <w:tc>
          <w:tcPr>
            <w:tcW w:w="1720" w:type="dxa"/>
            <w:vAlign w:val="bottom"/>
            <w:gridSpan w:val="5"/>
          </w:tcPr>
          <w:p>
            <w:pPr>
              <w:jc w:val="center"/>
              <w:ind w:right="120"/>
              <w:spacing w:after="0"/>
              <w:rPr>
                <w:sz w:val="20"/>
                <w:szCs w:val="20"/>
                <w:color w:val="auto"/>
              </w:rPr>
            </w:pPr>
            <w:r>
              <w:rPr>
                <w:rFonts w:ascii="Arial" w:cs="Arial" w:eastAsia="Arial" w:hAnsi="Arial"/>
                <w:sz w:val="15"/>
                <w:szCs w:val="15"/>
                <w:color w:val="auto"/>
                <w:w w:val="91"/>
              </w:rPr>
              <w:t>Treasury 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Paid-In</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Retained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5"/>
                <w:szCs w:val="15"/>
                <w:color w:val="auto"/>
                <w:w w:val="91"/>
              </w:rPr>
              <w:t>Comprehensive</w:t>
            </w:r>
          </w:p>
        </w:tc>
        <w:tc>
          <w:tcPr>
            <w:tcW w:w="140" w:type="dxa"/>
            <w:vAlign w:val="bottom"/>
          </w:tcPr>
          <w:p>
            <w:pPr>
              <w:spacing w:after="0"/>
              <w:rPr>
                <w:sz w:val="17"/>
                <w:szCs w:val="17"/>
                <w:color w:val="auto"/>
              </w:rPr>
            </w:pPr>
          </w:p>
        </w:tc>
        <w:tc>
          <w:tcPr>
            <w:tcW w:w="1040" w:type="dxa"/>
            <w:vAlign w:val="bottom"/>
          </w:tcPr>
          <w:p>
            <w:pPr>
              <w:jc w:val="center"/>
              <w:ind w:right="64"/>
              <w:spacing w:after="0"/>
              <w:rPr>
                <w:sz w:val="20"/>
                <w:szCs w:val="20"/>
                <w:color w:val="auto"/>
              </w:rPr>
            </w:pPr>
            <w:r>
              <w:rPr>
                <w:rFonts w:ascii="Arial" w:cs="Arial" w:eastAsia="Arial" w:hAnsi="Arial"/>
                <w:sz w:val="15"/>
                <w:szCs w:val="15"/>
                <w:color w:val="auto"/>
                <w:w w:val="91"/>
              </w:rPr>
              <w:t>Stockholders'</w:t>
            </w:r>
          </w:p>
        </w:tc>
        <w:tc>
          <w:tcPr>
            <w:tcW w:w="0" w:type="dxa"/>
            <w:vAlign w:val="bottom"/>
          </w:tcPr>
          <w:p>
            <w:pPr>
              <w:spacing w:after="0"/>
              <w:rPr>
                <w:sz w:val="1"/>
                <w:szCs w:val="1"/>
                <w:color w:val="auto"/>
              </w:rPr>
            </w:pPr>
          </w:p>
        </w:tc>
      </w:tr>
      <w:tr>
        <w:trPr>
          <w:trHeight w:val="207"/>
        </w:trPr>
        <w:tc>
          <w:tcPr>
            <w:tcW w:w="302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780" w:type="dxa"/>
            <w:vAlign w:val="bottom"/>
            <w:gridSpan w:val="2"/>
          </w:tcPr>
          <w:p>
            <w:pPr>
              <w:ind w:left="140"/>
              <w:spacing w:after="0"/>
              <w:rPr>
                <w:sz w:val="20"/>
                <w:szCs w:val="20"/>
                <w:color w:val="auto"/>
              </w:rPr>
            </w:pPr>
            <w:r>
              <w:rPr>
                <w:rFonts w:ascii="Arial" w:cs="Arial" w:eastAsia="Arial" w:hAnsi="Arial"/>
                <w:sz w:val="15"/>
                <w:szCs w:val="15"/>
                <w:color w:val="auto"/>
              </w:rPr>
              <w:t>Shares</w:t>
            </w:r>
          </w:p>
        </w:tc>
        <w:tc>
          <w:tcPr>
            <w:tcW w:w="1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5"/>
                <w:szCs w:val="15"/>
                <w:color w:val="auto"/>
              </w:rPr>
              <w:t>Par Value</w:t>
            </w:r>
          </w:p>
        </w:tc>
        <w:tc>
          <w:tcPr>
            <w:tcW w:w="760" w:type="dxa"/>
            <w:vAlign w:val="bottom"/>
            <w:gridSpan w:val="2"/>
          </w:tcPr>
          <w:p>
            <w:pPr>
              <w:ind w:left="12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Value</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5"/>
                <w:szCs w:val="15"/>
                <w:color w:val="auto"/>
                <w:w w:val="88"/>
              </w:rPr>
              <w:t>Loss</w:t>
            </w:r>
          </w:p>
        </w:tc>
        <w:tc>
          <w:tcPr>
            <w:tcW w:w="140" w:type="dxa"/>
            <w:vAlign w:val="bottom"/>
          </w:tcPr>
          <w:p>
            <w:pPr>
              <w:spacing w:after="0"/>
              <w:rPr>
                <w:sz w:val="17"/>
                <w:szCs w:val="17"/>
                <w:color w:val="auto"/>
              </w:rPr>
            </w:pPr>
          </w:p>
        </w:tc>
        <w:tc>
          <w:tcPr>
            <w:tcW w:w="1040" w:type="dxa"/>
            <w:vAlign w:val="bottom"/>
          </w:tcPr>
          <w:p>
            <w:pPr>
              <w:jc w:val="center"/>
              <w:ind w:right="84"/>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20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September 30, 2020</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35,513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279,741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170,330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371,500</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Net loss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1,872</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53"/>
        </w:trPr>
        <w:tc>
          <w:tcPr>
            <w:tcW w:w="30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3,944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1,745</w:t>
            </w:r>
          </w:p>
        </w:tc>
        <w:tc>
          <w:tcPr>
            <w:tcW w:w="0" w:type="dxa"/>
            <w:vAlign w:val="bottom"/>
          </w:tcPr>
          <w:p>
            <w:pPr>
              <w:spacing w:after="0"/>
              <w:rPr>
                <w:sz w:val="1"/>
                <w:szCs w:val="1"/>
                <w:color w:val="auto"/>
              </w:rPr>
            </w:pPr>
          </w:p>
        </w:tc>
      </w:tr>
      <w:tr>
        <w:trPr>
          <w:trHeight w:val="200"/>
        </w:trPr>
        <w:tc>
          <w:tcPr>
            <w:tcW w:w="3020" w:type="dxa"/>
            <w:vAlign w:val="bottom"/>
          </w:tcPr>
          <w:p>
            <w:pPr>
              <w:ind w:left="20"/>
              <w:spacing w:after="0"/>
              <w:rPr>
                <w:sz w:val="20"/>
                <w:szCs w:val="20"/>
                <w:color w:val="auto"/>
              </w:rPr>
            </w:pPr>
            <w:r>
              <w:rPr>
                <w:rFonts w:ascii="Arial" w:cs="Arial" w:eastAsia="Arial" w:hAnsi="Arial"/>
                <w:sz w:val="15"/>
                <w:szCs w:val="15"/>
                <w:color w:val="auto"/>
              </w:rPr>
              <w:t>Balances, December 31, 2020</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36,090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6,412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(56,333)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285,536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170,023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(21,945)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377,642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Balances, September 30, 2021</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40,653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407</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6,391</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(56,535)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370,699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180,692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(22,746)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472,517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1,187</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Other comprehensive loss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4"/>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(6,025)</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based payment options and awards</w:t>
            </w: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4,227</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22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December 31, 2021</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372,797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181,879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474,032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36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 OF UNAUDITED INTERIM CONDENSED CONSOLIDATED FINANCIAL STATEMENTS AND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our Annual Report on Form 10-K for the year ended September 30, 2021 (the "2021 Financial Statements"). We use the same accounting policies in preparing quarterly and annual financial statements. The quarterly results of operations are not necessarily indicative of the results to be expected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Impacts of COVID-19 on our Business</w:t>
      </w:r>
    </w:p>
    <w:p>
      <w:pPr>
        <w:spacing w:after="0" w:line="185" w:lineRule="exact"/>
        <w:rPr>
          <w:sz w:val="20"/>
          <w:szCs w:val="20"/>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impact of the coronavirus ("COVID-19") pandemic continues to unfold. The extent of the pandemic's effect on our operational and financial performance will depend in large part on future developments, which cannot be reasonably estimated at this time. Future developments include the duration, scope and severity of the pandemic, the actions taken to contain or mitigate its impact both within and outside the jurisdictions where we operate, the impact on governmental programs and budgets, the development of treatments or vaccines, and the timing and level of resumption of widespread economic activity. Due to the inherent uncertainty of the unprecedented and rapidly evolving situation, we are unable to predict with any confidence the likely impact of the COVID-19 pandemic on our future operations. For a more detailed discussion see Part I, Item 1 in our Annual Report on </w:t>
      </w:r>
      <w:hyperlink r:id="rId18">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for the year ended September 30, 2021 and "Management's Discussion and Analysis of Financial Condition and Results of Operations" in </w:t>
      </w:r>
      <w:hyperlink w:anchor="page22">
        <w:r>
          <w:rPr>
            <w:rFonts w:ascii="Arial" w:cs="Arial" w:eastAsia="Arial" w:hAnsi="Arial"/>
            <w:sz w:val="18"/>
            <w:szCs w:val="18"/>
            <w:u w:val="single" w:color="auto"/>
            <w:color w:val="0000FF"/>
          </w:rPr>
          <w:t>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October 2021, FASB issued ASU 2021-08, </w:t>
      </w:r>
      <w:r>
        <w:rPr>
          <w:rFonts w:ascii="Arial" w:cs="Arial" w:eastAsia="Arial" w:hAnsi="Arial"/>
          <w:sz w:val="18"/>
          <w:szCs w:val="18"/>
          <w:i w:val="1"/>
          <w:iCs w:val="1"/>
          <w:color w:val="auto"/>
        </w:rPr>
        <w:t>Business Combinations (Topic 805): Accounting for Contract Assets and Contract Liabilities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This update requires entities to apply Topic 606 to recognize and measure contract assets and contract liabilities in a business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adopted this standard in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2.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Ventus</w:t>
      </w:r>
    </w:p>
    <w:p>
      <w:pPr>
        <w:spacing w:after="0" w:line="19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November 1, 2021, we acquired Ventus Networks, LLC ("Ventus") for approximately $350 million in cash. The acquisition was funded through a combination of cash on hand and debt financing under a $350 million credit facility committed by BMO Harris Bank N.A.</w:t>
      </w:r>
    </w:p>
    <w:p>
      <w:pPr>
        <w:spacing w:after="0" w:line="9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For tax purposes, this acquisition is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4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Costs directly related to the acquisition of $3.1 million incurred fiscal year to date 2022 have been charged to operations and are included in general and administrative expense in our condensed statements of operations. These acquisition costs include legal, accounting, valuation and investment banking fees.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values of Ventus assets acquired and liabilities assumed as of the acquisition date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w:t>
            </w:r>
          </w:p>
        </w:tc>
      </w:tr>
      <w:tr>
        <w:trPr>
          <w:trHeight w:val="229"/>
        </w:trPr>
        <w:tc>
          <w:tcPr>
            <w:tcW w:w="9320" w:type="dxa"/>
            <w:vAlign w:val="bottom"/>
          </w:tcPr>
          <w:p>
            <w:pPr>
              <w:ind w:left="140"/>
              <w:spacing w:after="0"/>
              <w:rPr>
                <w:sz w:val="20"/>
                <w:szCs w:val="20"/>
                <w:color w:val="auto"/>
              </w:rPr>
            </w:pPr>
            <w:r>
              <w:rPr>
                <w:rFonts w:ascii="Arial" w:cs="Arial" w:eastAsia="Arial" w:hAnsi="Arial"/>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condensed consolidated balance sheet as of December 31, 2021 reflects the preliminary allocation of the purchase price to the assets acquired and liabilities assumed based on their estimated fair values at the date of acquisition. Given the timing of the Ventus acquisition, the estimated fair value of the net assets acquired, liabilities assumed and identifiable intangible assets are preliminary and remain subject to change. Included in the fair value of net tangible assets acquired was $0.9 million of right-of-use asset included in other non-current assets and $0.9 million of lease liability included in other current liabilities and other non-current liabilities associated with Ventus’s operating leases. Due to the timing of the acquisition, preliminary purchase price allocation has not yet been completed.</w:t>
      </w:r>
    </w:p>
    <w:p>
      <w:pPr>
        <w:spacing w:after="0" w:line="1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preliminary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pro forma information is presented as if the acquisition had occurred on October 1, 2020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Three months ended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89,322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8"/>
              </w:rPr>
              <w:t>84,988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w w:val="94"/>
              </w:rPr>
              <w:t>(3,653)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680"/>
              <w:spacing w:after="0" w:line="203" w:lineRule="exact"/>
              <w:rPr>
                <w:sz w:val="20"/>
                <w:szCs w:val="20"/>
                <w:color w:val="auto"/>
              </w:rPr>
            </w:pPr>
            <w:r>
              <w:rPr>
                <w:rFonts w:ascii="Arial" w:cs="Arial" w:eastAsia="Arial" w:hAnsi="Arial"/>
                <w:sz w:val="18"/>
                <w:szCs w:val="18"/>
                <w:color w:val="auto"/>
                <w:w w:val="94"/>
              </w:rPr>
              <w:t>(7,783)</w:t>
            </w:r>
          </w:p>
        </w:tc>
      </w:tr>
      <w:tr>
        <w:trPr>
          <w:trHeight w:val="20"/>
        </w:trPr>
        <w:tc>
          <w:tcPr>
            <w:tcW w:w="7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three months ended December 31, 2020 was adjusted to include acquisition-related costs of $3.1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is a reconciliation of the numerators and denominators in the net income (loss) per common share calculations (in thousands, except per common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Three months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46"/>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7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Denominator:</w:t>
            </w:r>
          </w:p>
        </w:tc>
        <w:tc>
          <w:tcPr>
            <w:tcW w:w="9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 for basic net income per common share — weighted average shares outstanding</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Denominator for diluted net income per common share — adjusted weighted average shares</w:t>
            </w:r>
          </w:p>
        </w:tc>
        <w:tc>
          <w:tcPr>
            <w:tcW w:w="9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0"/>
              </w:rPr>
              <w:t>35,767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29,374</w:t>
            </w: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Net income (loss) per common share, basic</w:t>
            </w:r>
          </w:p>
        </w:tc>
        <w:tc>
          <w:tcPr>
            <w:tcW w:w="980" w:type="dxa"/>
            <w:vAlign w:val="bottom"/>
            <w:tcBorders>
              <w:bottom w:val="single" w:sz="8" w:color="auto"/>
            </w:tcBorders>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diluted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months ended December 31, 2021 and 2020, there were 35,160 and 547,045 potentially dilutive shares, respectively. These potentially dilutive shares were related to stock options to purchase common shares that were not included in the above computation of diluted earnings per common share since the options' exercise prices were greater than the average market price of our common shares. In addition, due to the net loss for the three months ended December 31, 2020, there were 1,157,727 common stock options and restricted stock units that were not included in the above computation of diluted earnings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4. SELECTED BALANCE SHEET DATA</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0" w:type="dxa"/>
            <w:vAlign w:val="bottom"/>
          </w:tcPr>
          <w:p>
            <w:pPr>
              <w:spacing w:after="0"/>
              <w:rPr>
                <w:sz w:val="20"/>
                <w:szCs w:val="20"/>
                <w:color w:val="auto"/>
              </w:rPr>
            </w:pPr>
            <w:r>
              <w:rPr>
                <w:rFonts w:ascii="Arial" w:cs="Arial" w:eastAsia="Arial" w:hAnsi="Arial"/>
                <w:sz w:val="18"/>
                <w:szCs w:val="18"/>
                <w:color w:val="auto"/>
              </w:rPr>
              <w:t>The following table shows selected balance sheet data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57,863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51,828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reserve for future credit returns and pricing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MEASUREMENTS</w:t>
      </w:r>
    </w:p>
    <w:p>
      <w:pPr>
        <w:spacing w:after="0" w:line="19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financial liabilities that are measured at fair value on a recurring basis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Total Fair</w:t>
            </w:r>
          </w:p>
        </w:tc>
        <w:tc>
          <w:tcPr>
            <w:tcW w:w="240" w:type="dxa"/>
            <w:vAlign w:val="bottom"/>
          </w:tcPr>
          <w:p>
            <w:pPr>
              <w:spacing w:after="0"/>
              <w:rPr>
                <w:sz w:val="16"/>
                <w:szCs w:val="16"/>
                <w:color w:val="auto"/>
              </w:rPr>
            </w:pPr>
          </w:p>
        </w:tc>
        <w:tc>
          <w:tcPr>
            <w:tcW w:w="2960" w:type="dxa"/>
            <w:vAlign w:val="bottom"/>
            <w:gridSpan w:val="6"/>
          </w:tcPr>
          <w:p>
            <w:pPr>
              <w:ind w:left="760"/>
              <w:spacing w:after="0"/>
              <w:rPr>
                <w:sz w:val="20"/>
                <w:szCs w:val="20"/>
                <w:color w:val="auto"/>
              </w:rPr>
            </w:pPr>
            <w:r>
              <w:rPr>
                <w:rFonts w:ascii="Arial" w:cs="Arial" w:eastAsia="Arial" w:hAnsi="Arial"/>
                <w:sz w:val="17"/>
                <w:szCs w:val="17"/>
                <w:color w:val="auto"/>
                <w:w w:val="89"/>
              </w:rPr>
              <w:t>Fair Value Measurements Using</w:t>
            </w:r>
          </w:p>
        </w:tc>
        <w:tc>
          <w:tcPr>
            <w:tcW w:w="100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Value at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Inputs Considered as</w:t>
            </w:r>
          </w:p>
        </w:tc>
        <w:tc>
          <w:tcPr>
            <w:tcW w:w="100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December 31, 2021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2</w:t>
            </w:r>
          </w:p>
        </w:tc>
        <w:tc>
          <w:tcPr>
            <w:tcW w:w="44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Arial" w:cs="Arial" w:eastAsia="Arial" w:hAnsi="Arial"/>
                <w:sz w:val="17"/>
                <w:szCs w:val="17"/>
                <w:color w:val="auto"/>
                <w:w w:val="94"/>
              </w:rPr>
              <w:t>Level 3</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6,200</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6,200</w:t>
            </w:r>
          </w:p>
        </w:tc>
      </w:tr>
      <w:tr>
        <w:trPr>
          <w:trHeight w:val="234"/>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Total Fair</w:t>
            </w:r>
          </w:p>
        </w:tc>
        <w:tc>
          <w:tcPr>
            <w:tcW w:w="240" w:type="dxa"/>
            <w:vAlign w:val="bottom"/>
          </w:tcPr>
          <w:p>
            <w:pPr>
              <w:spacing w:after="0"/>
              <w:rPr>
                <w:sz w:val="21"/>
                <w:szCs w:val="21"/>
                <w:color w:val="auto"/>
              </w:rPr>
            </w:pPr>
          </w:p>
        </w:tc>
        <w:tc>
          <w:tcPr>
            <w:tcW w:w="2960" w:type="dxa"/>
            <w:vAlign w:val="bottom"/>
            <w:gridSpan w:val="6"/>
          </w:tcPr>
          <w:p>
            <w:pPr>
              <w:ind w:left="760"/>
              <w:spacing w:after="0"/>
              <w:rPr>
                <w:sz w:val="20"/>
                <w:szCs w:val="20"/>
                <w:color w:val="auto"/>
              </w:rPr>
            </w:pPr>
            <w:r>
              <w:rPr>
                <w:rFonts w:ascii="Arial" w:cs="Arial" w:eastAsia="Arial" w:hAnsi="Arial"/>
                <w:sz w:val="17"/>
                <w:szCs w:val="17"/>
                <w:color w:val="auto"/>
                <w:w w:val="89"/>
              </w:rPr>
              <w:t>Fair Value Measurements Using</w:t>
            </w:r>
          </w:p>
        </w:tc>
        <w:tc>
          <w:tcPr>
            <w:tcW w:w="1000" w:type="dxa"/>
            <w:vAlign w:val="bottom"/>
          </w:tcPr>
          <w:p>
            <w:pPr>
              <w:spacing w:after="0"/>
              <w:rPr>
                <w:sz w:val="21"/>
                <w:szCs w:val="2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Value at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Inputs Considered as</w:t>
            </w:r>
          </w:p>
        </w:tc>
        <w:tc>
          <w:tcPr>
            <w:tcW w:w="100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September 30, 2021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2</w:t>
            </w:r>
          </w:p>
        </w:tc>
        <w:tc>
          <w:tcPr>
            <w:tcW w:w="44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Arial" w:cs="Arial" w:eastAsia="Arial" w:hAnsi="Arial"/>
                <w:sz w:val="17"/>
                <w:szCs w:val="17"/>
                <w:color w:val="auto"/>
                <w:w w:val="94"/>
              </w:rPr>
              <w:t>Level 3</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6,200</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6,200</w:t>
            </w:r>
          </w:p>
        </w:tc>
      </w:tr>
      <w:tr>
        <w:trPr>
          <w:trHeight w:val="234"/>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connection with our acquisition of Opengear, we agreed to make contingent payments, based upon certain revenue thresholds. We paid the final installment of $10.0 million during the second quarter of fiscal 2021.</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our acquisition of Haxiot, we agreed to make contingent earn-out payments, based upon certain revenue thresholds. In the fiscal third quarter of fiscal 2021, the preliminary purchase price allocation was updated, including related determination of fair value and income tax implications. As a result, we reduced contingent consideration by $2.1 million in the third fiscal quarter of 2021. The fair value of the remaining liability for contingent consideration for the acquisition of Haxiot was $5.9 million at December 31, 2021.</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our acquisition of Ctek, we agreed to make contingent earn-out payments, based upon certain revenue thresholds. The fair value of the remaining liability for contingent consideration for the acquisition of Ctek was $0.3 million at December 31, 2021.</w:t>
      </w:r>
    </w:p>
    <w:p>
      <w:pPr>
        <w:spacing w:after="0" w:line="13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presents a reconciliation of the contingent consideration liability measured at fair value on a recurring basis using significant unobservable inputs (Level 3)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Three months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5,772</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change in fair value of contingent consideration reflects our estimates of the probabilities of achieving the relevant targets and is discounted based on our estimated discount rate. The fair value of the contingent consideration at December 31, 2021 is based on the probability of achieving the specified revenue thresholds for Haxiot and Ctek.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740" w:firstLine="8"/>
        <w:spacing w:after="0" w:line="43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88"/>
              </w:rPr>
              <w:t>December 31,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89"/>
              </w:rPr>
              <w:t>September 30, 2021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6"/>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amount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309,278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90,305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Order backlog</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224,643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Amortization expense was $6.3 million and $4.0 million for the three months ended December 31, 2021 and 2020, respectively. Amortization expense is recorded on our condensed consolidated statements of operations within cost of sales and in general and administrative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related to intangible assets for the remainder of fiscal 2022 and the five succeeding fiscal years is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(nine months)</w:t>
            </w:r>
          </w:p>
        </w:tc>
        <w:tc>
          <w:tcPr>
            <w:tcW w:w="4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2023</w:t>
            </w:r>
          </w:p>
        </w:tc>
        <w:tc>
          <w:tcPr>
            <w:tcW w:w="4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24,996</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2025</w:t>
            </w:r>
          </w:p>
        </w:tc>
        <w:tc>
          <w:tcPr>
            <w:tcW w:w="4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20,825</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2027</w:t>
            </w:r>
          </w:p>
        </w:tc>
        <w:tc>
          <w:tcPr>
            <w:tcW w:w="4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18,582</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segments are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color w:val="auto"/>
              </w:rPr>
              <w:t>Three months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9"/>
              </w:rPr>
              <w:t>IoT</w:t>
            </w:r>
          </w:p>
        </w:tc>
        <w:tc>
          <w:tcPr>
            <w:tcW w:w="300" w:type="dxa"/>
            <w:vAlign w:val="bottom"/>
          </w:tcPr>
          <w:p>
            <w:pPr>
              <w:spacing w:after="0"/>
              <w:rPr>
                <w:sz w:val="14"/>
                <w:szCs w:val="14"/>
                <w:color w:val="auto"/>
              </w:rPr>
            </w:pPr>
          </w:p>
        </w:tc>
        <w:tc>
          <w:tcPr>
            <w:tcW w:w="1460" w:type="dxa"/>
            <w:vAlign w:val="bottom"/>
            <w:gridSpan w:val="2"/>
          </w:tcPr>
          <w:p>
            <w:pPr>
              <w:jc w:val="center"/>
              <w:ind w:right="400"/>
              <w:spacing w:after="0" w:line="169" w:lineRule="exact"/>
              <w:rPr>
                <w:sz w:val="20"/>
                <w:szCs w:val="20"/>
                <w:color w:val="auto"/>
              </w:rPr>
            </w:pPr>
            <w:r>
              <w:rPr>
                <w:rFonts w:ascii="Arial" w:cs="Arial" w:eastAsia="Arial" w:hAnsi="Arial"/>
                <w:sz w:val="18"/>
                <w:szCs w:val="18"/>
                <w:color w:val="auto"/>
                <w:w w:val="99"/>
              </w:rPr>
              <w:t>IoT</w:t>
            </w:r>
          </w:p>
        </w:tc>
        <w:tc>
          <w:tcPr>
            <w:tcW w:w="360" w:type="dxa"/>
            <w:vAlign w:val="bottom"/>
          </w:tcPr>
          <w:p>
            <w:pPr>
              <w:spacing w:after="0"/>
              <w:rPr>
                <w:sz w:val="14"/>
                <w:szCs w:val="14"/>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Products and Services</w:t>
            </w:r>
          </w:p>
        </w:tc>
        <w:tc>
          <w:tcPr>
            <w:tcW w:w="3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Solutions</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September 30,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225,522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116,890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116,890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342,498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2 reportable segments, our IoT Products &amp; Services segment and our IoT Solutions segment (see </w:t>
      </w:r>
      <w:hyperlink w:anchor="page14">
        <w:r>
          <w:rPr>
            <w:rFonts w:ascii="Arial" w:cs="Arial" w:eastAsia="Arial" w:hAnsi="Arial"/>
            <w:sz w:val="17"/>
            <w:szCs w:val="17"/>
            <w:u w:val="single" w:color="auto"/>
            <w:color w:val="0000FF"/>
          </w:rPr>
          <w:t>Note 8</w:t>
        </w:r>
      </w:hyperlink>
      <w:r>
        <w:rPr>
          <w:rFonts w:ascii="Arial" w:cs="Arial" w:eastAsia="Arial" w:hAnsi="Arial"/>
          <w:sz w:val="17"/>
          <w:szCs w:val="17"/>
          <w:color w:val="auto"/>
        </w:rPr>
        <w:t>). Effective with the reorganization announcement on October 7, 2020, our IoT Products &amp; Services business is now structured to include four reporting units under the IoT Products &amp; Services segment, each with a reporting manager: Cellular Routers, Console Servers, OEM Solutions and Infrastructure Management. We had four reporting units along with our IoT Solutions segment that were tested individually for impairment during our third quarter fiscal 2021 annual impairment test. Following our acquisition of Ventus in November, 2021, we have 2 reporting units within our IoT Solutions segment that will be tested for impairment during our Fiscal 2022 annual impairment test in addition to the 4 reporting units included in IoT Products &amp;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6. GOODWILL AND OTHER INTANGIBLE ASSETS, NET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Fiscal 2021 Annual Impairment Test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we had a total of $32.7 million of goodwill for the Enterprise Routers reporting unit, $60.2 million of goodwill for the Console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Servers reporting unit, $63.4 million of goodwill for the OEM Solutions reporting unit, $15.4 million of goodwill for the Infrastructure Mgmt. reporting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 and $49.5 million of goodwill for the IoT Solutions reporting unit. At June 30, 2021, fair value exceeded the carrying value by more than 20%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 reporting units. Implied fair values for both reporting units were each calculated on a standalone basis using a weighted combination of the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approach and market approach. The implied fair values of each reporting unit were added together along with our unallocated assets to get an indicated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total equity to which a range of indicated value of total equity was derived. This range was compared to the total market capitalization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$686.3 million as of June 30, 2021. This implied a range of control (deficit)/ premiums of (4.5)% to 5.4%. This range of control premiums fell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premiums observed in the last five years in the communications equipment industry. As a result, the market capitalization reconciliation analysis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proved support for the reasonableness of the fair values estimated for each individual reporting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INDEBTEDNESS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Our weighted average interest rate at December 31, 2021 was 4.58%.</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and December 22 amendments, respectively. These amounts will be amortized over the term of the amended loan and reported in interest expense.</w:t>
      </w:r>
    </w:p>
    <w:p>
      <w:pPr>
        <w:spacing w:after="0" w:line="117"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Term Loan is payable in quarterly installments, with the balance remaining due at December 22, 2028. The Revolving Loan is due in a lump sum payment at maturity on December 22, 2026. The fair value of the Term Loan and Revolving Loan approximated carrying value at December 31,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Digi made a one-time payment of $50 million against the term loan.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7. INDEBTEDNESS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indebtedness at December 31, 2021 and September 30, 2021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Balance at September 30,</w:t>
            </w:r>
          </w:p>
        </w:tc>
      </w:tr>
      <w:tr>
        <w:trPr>
          <w:trHeight w:val="229"/>
        </w:trPr>
        <w:tc>
          <w:tcPr>
            <w:tcW w:w="67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2021</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Revolving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48,118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48,118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
        </w:trPr>
        <w:tc>
          <w:tcPr>
            <w:tcW w:w="67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29"/>
        </w:trPr>
        <w:tc>
          <w:tcPr>
            <w:tcW w:w="6780" w:type="dxa"/>
            <w:vAlign w:val="bottom"/>
            <w:tcBorders>
              <w:top w:val="single" w:sz="8" w:color="CCEEFF"/>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long-term debt, net of current portion</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45,799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future maturities of our aggregate long-term debt at December 31, 2021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440" w:type="dxa"/>
            <w:vAlign w:val="bottom"/>
          </w:tcPr>
          <w:p>
            <w:pPr>
              <w:spacing w:after="0"/>
              <w:rPr>
                <w:sz w:val="20"/>
                <w:szCs w:val="20"/>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Amount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203,750</w:t>
            </w: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Security Interest</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agreements governing the Revolving Loan Facility contains a number of covenants. Among other provisions, these covenants require us to maintain a certain financial ratio (net leverage ratio and minimum fixed charge ratio). At December 31, 2021, had no amounts drawn on the Revolving Loan Facility. Amounts borrowed under the Credit Facility are secured by substantially all of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19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two reportable segments: IoT Products &amp; Services and IoT Solutions. Effective with the reorganization announcement on October 7, 2020, our IoT Products &amp; Services business is now structured to include four operating segments, each with a segment manager. These four operating segments include:</w:t>
      </w:r>
    </w:p>
    <w:p>
      <w:pPr>
        <w:spacing w:after="0" w:line="143" w:lineRule="exact"/>
        <w:rPr>
          <w:sz w:val="20"/>
          <w:szCs w:val="20"/>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Cellular Routers - box devices (fully enclosed) that provide connectivity typically in a place where the device can be plugged in exclusively using cellular communications.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Console Servers - similar to cellular routers except they are exclusively for edge computing installations and data center applications exclusively using cellular communications.</w:t>
      </w:r>
    </w:p>
    <w:p>
      <w:pPr>
        <w:spacing w:after="0" w:line="143"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43"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SmartSense - offers wireless temperature and other condition-based monitoring services as well as employee task management services.</w:t>
      </w:r>
    </w:p>
    <w:p>
      <w:pPr>
        <w:spacing w:after="0" w:line="196"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Ventus - provides MNaaS solutions that simplify the complexity of enterprise wide area network ("WAN") connectivity via wireless and fixed line solutions.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CODM reviews and makes business decisions which includes a primary review of operating income but also includes gross profit. Following the October 2020 reorganization, the shared general and administrative costs began being allocated to each operating segment. As a result, our disclosed measure of segment operating income has been updated for all periods presented to conform with this change.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Summary operating results for each of our segments were (in thousands):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bottom w:val="single" w:sz="8" w:color="auto"/>
            </w:tcBorders>
            <w:gridSpan w:val="8"/>
          </w:tcPr>
          <w:p>
            <w:pPr>
              <w:ind w:left="360"/>
              <w:spacing w:after="0"/>
              <w:rPr>
                <w:sz w:val="20"/>
                <w:szCs w:val="20"/>
                <w:color w:val="auto"/>
              </w:rPr>
            </w:pPr>
            <w:r>
              <w:rPr>
                <w:rFonts w:ascii="Arial" w:cs="Arial" w:eastAsia="Arial" w:hAnsi="Arial"/>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7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10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65,744</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84,257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10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35,675</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12,206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47,881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10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income (loss)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10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expended for property, plant and equipment was (in thousands):</w:t>
            </w: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gridSpan w:val="8"/>
          </w:tcPr>
          <w:p>
            <w:pPr>
              <w:ind w:left="340"/>
              <w:spacing w:after="0"/>
              <w:rPr>
                <w:sz w:val="20"/>
                <w:szCs w:val="20"/>
                <w:color w:val="auto"/>
              </w:rPr>
            </w:pPr>
            <w:r>
              <w:rPr>
                <w:rFonts w:ascii="Arial" w:cs="Arial" w:eastAsia="Arial" w:hAnsi="Arial"/>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IoT Products &amp; Services</w:t>
            </w:r>
          </w:p>
        </w:tc>
        <w:tc>
          <w:tcPr>
            <w:tcW w:w="1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IoT Solutions*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expended for property, plant and equipment</w:t>
            </w:r>
          </w:p>
        </w:tc>
        <w:tc>
          <w:tcPr>
            <w:tcW w:w="1000" w:type="dxa"/>
            <w:vAlign w:val="bottom"/>
            <w:tcBorders>
              <w:top w:val="single" w:sz="8" w:color="auto"/>
              <w:bottom w:val="single" w:sz="8" w:color="auto"/>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660" w:firstLine="8"/>
        <w:spacing w:after="0" w:line="273" w:lineRule="auto"/>
        <w:tabs>
          <w:tab w:leader="none" w:pos="108"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Excluded from this amount is $699 and $882 of transfers of inventory to property plant and equipment for subscriber assets for the three months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7960" w:type="dxa"/>
            <w:vAlign w:val="bottom"/>
            <w:gridSpan w:val="3"/>
          </w:tcPr>
          <w:p>
            <w:pPr>
              <w:spacing w:after="0"/>
              <w:rPr>
                <w:sz w:val="20"/>
                <w:szCs w:val="20"/>
                <w:color w:val="auto"/>
              </w:rPr>
            </w:pPr>
            <w:r>
              <w:rPr>
                <w:rFonts w:ascii="Arial" w:cs="Arial" w:eastAsia="Arial" w:hAnsi="Arial"/>
                <w:sz w:val="18"/>
                <w:szCs w:val="18"/>
                <w:color w:val="auto"/>
              </w:rPr>
              <w:t>8. SEGMENT INFORMATION (CONTINUED)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gridSpan w:val="3"/>
          </w:tcPr>
          <w:p>
            <w:pPr>
              <w:spacing w:after="0"/>
              <w:rPr>
                <w:sz w:val="20"/>
                <w:szCs w:val="20"/>
                <w:color w:val="auto"/>
              </w:rPr>
            </w:pPr>
            <w:r>
              <w:rPr>
                <w:rFonts w:ascii="Arial" w:cs="Arial" w:eastAsia="Arial" w:hAnsi="Arial"/>
                <w:sz w:val="18"/>
                <w:szCs w:val="18"/>
                <w:color w:val="auto"/>
              </w:rPr>
              <w:t>Total assets for each of our segments were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IoT Products &amp; Services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20" w:type="dxa"/>
            <w:vAlign w:val="bottom"/>
            <w:gridSpan w:val="2"/>
          </w:tcPr>
          <w:p>
            <w:pPr>
              <w:ind w:left="120"/>
              <w:spacing w:after="0"/>
              <w:rPr>
                <w:sz w:val="20"/>
                <w:szCs w:val="20"/>
                <w:color w:val="auto"/>
              </w:rPr>
            </w:pPr>
            <w:r>
              <w:rPr>
                <w:rFonts w:ascii="Arial" w:cs="Arial" w:eastAsia="Arial" w:hAnsi="Arial"/>
                <w:sz w:val="18"/>
                <w:szCs w:val="18"/>
                <w:color w:val="auto"/>
              </w:rPr>
              <w:t>IoT Solutions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Unallocated*</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4"/>
                <w:szCs w:val="14"/>
                <w:color w:val="auto"/>
              </w:rPr>
              <w:t>*Unallocated consists of cash and cash equivalents.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79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7960" w:type="dxa"/>
            <w:vAlign w:val="bottom"/>
            <w:gridSpan w:val="3"/>
          </w:tcPr>
          <w:p>
            <w:pPr>
              <w:spacing w:after="0"/>
              <w:rPr>
                <w:sz w:val="20"/>
                <w:szCs w:val="20"/>
                <w:color w:val="auto"/>
              </w:rPr>
            </w:pPr>
            <w:r>
              <w:rPr>
                <w:rFonts w:ascii="Arial" w:cs="Arial" w:eastAsia="Arial" w:hAnsi="Arial"/>
                <w:sz w:val="18"/>
                <w:szCs w:val="18"/>
                <w:color w:val="auto"/>
              </w:rPr>
              <w:t>9. REVENUE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Revenue Disaggregation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60" w:type="dxa"/>
            <w:vAlign w:val="bottom"/>
            <w:gridSpan w:val="3"/>
          </w:tcPr>
          <w:p>
            <w:pPr>
              <w:spacing w:after="0"/>
              <w:rPr>
                <w:sz w:val="20"/>
                <w:szCs w:val="20"/>
                <w:color w:val="auto"/>
              </w:rPr>
            </w:pPr>
            <w:r>
              <w:rPr>
                <w:rFonts w:ascii="Arial" w:cs="Arial" w:eastAsia="Arial" w:hAnsi="Arial"/>
                <w:sz w:val="18"/>
                <w:szCs w:val="18"/>
                <w:color w:val="auto"/>
                <w:w w:val="99"/>
              </w:rPr>
              <w:t>The following table summarizes our revenue by geographic location of our customers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color w:val="auto"/>
                <w:w w:val="94"/>
              </w:rPr>
              <w:t>Three months ended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North America, primarily the United States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Europe, Middle East &amp; Africa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6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our revenue by the timing of revenue recognition (in thousands):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9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color w:val="auto"/>
                <w:w w:val="94"/>
              </w:rPr>
              <w:t>Three months ended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Transferred at a point in time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Contract assets consist of subscriber assets. These subscriber assets relate to fees in certain contracts that we charge our customers so they can begin using equipment. In these cases, we retain the ownership of the equipment that the customer uses. The total net book value of subscriber assets of $9.8 million and $1.9 million as of December 31, 2021 and September 30, 2021, respectively, are included in property, equipment and improvements, net. The December 31, 2021 balance includes $8.1 million acquired in the acquisition of Ventus. Depreciation expense for these subscriber assets, which is included in cost of sales, was $0.8 million and $0.5 million for the three months ended December 31, 2021 and December 31, 2020, respectively. We depreciate the cost of this equipment over its useful life (typically three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85"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The timing of revenue recognition may differ from the timing of invoicing to customers. Customers are invoiced for subscription services in advance on a monthly, quarterly or annual basis. Contract liabilities consist of unearned revenue related to annual or multi-year contracts for subscription services and related implementation fees. These pertain to our IoT Solutions segment and our Digi Remote Manager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in our IoT Products &amp; Services segment.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966"/>
        </w:trPr>
        <w:tc>
          <w:tcPr>
            <w:tcW w:w="7980" w:type="dxa"/>
            <w:vAlign w:val="bottom"/>
            <w:gridSpan w:val="2"/>
          </w:tcPr>
          <w:p>
            <w:pPr>
              <w:spacing w:after="0"/>
              <w:rPr>
                <w:sz w:val="20"/>
                <w:szCs w:val="20"/>
                <w:color w:val="auto"/>
              </w:rPr>
            </w:pPr>
            <w:r>
              <w:rPr>
                <w:rFonts w:ascii="Arial" w:cs="Arial" w:eastAsia="Arial" w:hAnsi="Arial"/>
                <w:sz w:val="18"/>
                <w:szCs w:val="18"/>
                <w:color w:val="auto"/>
              </w:rPr>
              <w:t>9. REVENUE (CONTINUED)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7980" w:type="dxa"/>
            <w:vAlign w:val="bottom"/>
            <w:gridSpan w:val="2"/>
          </w:tcPr>
          <w:p>
            <w:pPr>
              <w:spacing w:after="0"/>
              <w:rPr>
                <w:sz w:val="20"/>
                <w:szCs w:val="20"/>
                <w:color w:val="auto"/>
              </w:rPr>
            </w:pPr>
            <w:r>
              <w:rPr>
                <w:rFonts w:ascii="Arial" w:cs="Arial" w:eastAsia="Arial" w:hAnsi="Arial"/>
                <w:sz w:val="18"/>
                <w:szCs w:val="18"/>
                <w:color w:val="auto"/>
              </w:rPr>
              <w:t>Changes in unearned revenue were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2"/>
              </w:rPr>
              <w:t>Three months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revenue,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Unearned revenue assumed from Ventus acquisition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Billings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Unearned revenue,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Transaction Price</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Transaction price allocated to the remaining performance obligations represents contracted revenue that has not been recognized. This includes unearned revenue and unbilled amounts that will be recognized as revenue in future periods. As of December 31, 2021, approximately $24.3 million of revenue is expected to be recognized from remaining performance obligations for subscription contracts. We expect to recognize revenue on approximately $22.1 million of remaining performance obligations over the next twelve months. Revenue from the remaining performance obligations we expect to recognize over a range of two to seven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10. INCOME TAXES</w:t>
      </w:r>
    </w:p>
    <w:p>
      <w:pPr>
        <w:spacing w:after="0" w:line="19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Our income tax benefit was $2.4 million for the three months ended December 31, 2021. Included in this benefit was a net tax benefit discretely related to the three months ended December 31, 2021 of $2.2 million. This benefit primarily was the result of excess tax benefits recognized on stock compensation.</w:t>
      </w:r>
    </w:p>
    <w:p>
      <w:pPr>
        <w:spacing w:after="0" w:line="8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Income tax benefit was $0.4 million for the three months ended December 31, 2020. Included in this benefit was a net tax benefit discretely related to the three months ended December 31, 2020 of $0.3 million. This benefit primarily was the result of excess tax benefits recognized on stock compensation.</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effective tax rate will vary based on a variety of factors. These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1"/>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as of September 30, 2021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Unrecognized tax benefits as of December 31, 2021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total amount of unrecognized tax benefits at December 31, 2021 that, if recognized, would affect our effective tax rate was $2.6 million, after considering the impact of interest and deferred benefit items. We expect that the total amount of unrecognized tax benefits will decrease by approximately $0.7 million over the next 12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11. PRODUCT WARRANTY OBLIGATION</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activity associated with the product warranty accrual (in thousands) and is included on our condensed consolidated balance sheets within current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Balance at</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Warranties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Settlements</w:t>
            </w:r>
          </w:p>
        </w:tc>
        <w:tc>
          <w:tcPr>
            <w:tcW w:w="1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Balance at</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Period</w:t>
            </w:r>
          </w:p>
        </w:tc>
        <w:tc>
          <w:tcPr>
            <w:tcW w:w="150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October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made</w:t>
            </w:r>
          </w:p>
        </w:tc>
        <w:tc>
          <w:tcPr>
            <w:tcW w:w="1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2021</w:t>
            </w:r>
          </w:p>
        </w:tc>
        <w:tc>
          <w:tcPr>
            <w:tcW w:w="15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Three months ended December 31, 2020</w:t>
            </w:r>
          </w:p>
        </w:tc>
        <w:tc>
          <w:tcPr>
            <w:tcW w:w="1500" w:type="dxa"/>
            <w:vAlign w:val="bottom"/>
          </w:tcPr>
          <w:p>
            <w:pPr>
              <w:ind w:left="1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20"/>
                <w:szCs w:val="20"/>
                <w:color w:val="auto"/>
              </w:rPr>
            </w:pPr>
          </w:p>
        </w:tc>
      </w:tr>
      <w:tr>
        <w:trPr>
          <w:trHeight w:val="850"/>
        </w:trPr>
        <w:tc>
          <w:tcPr>
            <w:tcW w:w="424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Arial" w:cs="Arial" w:eastAsia="Arial" w:hAnsi="Arial"/>
                <w:sz w:val="18"/>
                <w:szCs w:val="18"/>
                <w:color w:val="auto"/>
                <w:w w:val="89"/>
              </w:rPr>
              <w:t>15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12. LEASES</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All of our leases are operating leases and primarily consist of leases for office space. For any lease with an initial term in excess of twelve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initial term of twelve months or less are not recorded on the condensed consolidated balance sheets. Instead we recognize lease expense for these leases on a straight-line basis over the lease term.</w:t>
      </w:r>
    </w:p>
    <w:p>
      <w:pPr>
        <w:spacing w:after="0" w:line="13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w:t>
      </w:r>
    </w:p>
    <w:p>
      <w:pPr>
        <w:spacing w:after="0" w:line="14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supplemental balance sheet information related to our leases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Balance Sheet Location</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9"/>
              </w:rPr>
              <w:t>December 31, 2021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30, 2021</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leases</w:t>
            </w:r>
          </w:p>
        </w:tc>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r>
      <w:tr>
        <w:trPr>
          <w:trHeight w:val="223"/>
        </w:trPr>
        <w:tc>
          <w:tcPr>
            <w:tcW w:w="220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21,001</w:t>
            </w:r>
          </w:p>
        </w:tc>
      </w:tr>
      <w:tr>
        <w:trPr>
          <w:trHeight w:val="20"/>
        </w:trPr>
        <w:tc>
          <w:tcPr>
            <w:tcW w:w="2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were the components of our lease cost which is recorded in both cost of goods sold and selling, general and administrative expense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00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The following table presents supplemental information related to operating leases (in thousands):</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Right-of-use assets acquired in Ventus acquisition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Non-cash tenant improvement allowance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917"/>
        </w:trPr>
        <w:tc>
          <w:tcPr>
            <w:tcW w:w="8000" w:type="dxa"/>
            <w:vAlign w:val="bottom"/>
          </w:tcPr>
          <w:p>
            <w:pPr>
              <w:ind w:left="554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12. LEASES (CONTINUED)</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December 31, 2021 the weighted average remaining lease term of our operating leases was 8.4 years and the weighted average discount rate for these leases was 3.1%.</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as well as all the remaining years to the operating lease liabilities recorded on the condensed consolidated balance sheet as of December 31, 2021 (in thousands):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29"/>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2,821</w:t>
            </w:r>
          </w:p>
        </w:tc>
      </w:tr>
      <w:tr>
        <w:trPr>
          <w:trHeight w:val="23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1,760</w:t>
            </w:r>
          </w:p>
        </w:tc>
      </w:tr>
      <w:tr>
        <w:trPr>
          <w:trHeight w:val="23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23,999</w:t>
            </w:r>
          </w:p>
        </w:tc>
      </w:tr>
      <w:tr>
        <w:trPr>
          <w:trHeight w:val="23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21,109</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13. COMMITMENTS AND CONTINGENCIES</w:t>
      </w:r>
    </w:p>
    <w:p>
      <w:pPr>
        <w:spacing w:after="0" w:line="185" w:lineRule="exact"/>
        <w:rPr>
          <w:sz w:val="20"/>
          <w:szCs w:val="20"/>
          <w:color w:val="auto"/>
        </w:rPr>
      </w:pPr>
    </w:p>
    <w:p>
      <w:pPr>
        <w:ind w:right="3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lease certain of our buildings and equipment under noncancelable lease agreements. Please refer to </w:t>
      </w:r>
      <w:hyperlink w:anchor="page18">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condensed consolidated financial statements for additional information.</w:t>
      </w:r>
    </w:p>
    <w:p>
      <w:pPr>
        <w:spacing w:after="0" w:line="13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Stock-based awards were granted under the 2021 Omnibus Incentive Plan (the "2021 Plan") beginning January 29, 2021. Prior to that date, such awards made in fiscal 2021 were granted under the 2020 Omnibus Incentive Plan (the "2020 Plan"). Upon stockholder approval of the 2021 Plan, we ceased granting awards under the 2020 Plan. Shares subject to awards under the 2020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2021 Plan authorizes the issuance of up to 1,400,000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2021 Plan is scheduled to expire on January 28, 2031. Options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the 2021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restricted stock units or performance stock units, we issue new shares of stock. As of December 31, 2021, there were approximately 755,017 shares available for future grants under the 2021 Plan.</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received from the exercise of stock options was $4.2 million and $3.9 million for the three months ended December 31, 2021 and December 31, 2020, respectively.</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 withholding obligations otherwise occur by the employee paying cash to us for the withholding. During the three months ended December 31, 2021 and 2020, our employees forfeited 611,415 shares and 83,928 shares, respectively, in order to satisfy respective withholding tax obligations of $6.0 million and $1.4 million, respectively.</w:t>
      </w:r>
    </w:p>
    <w:p>
      <w:pPr>
        <w:spacing w:after="0" w:line="16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to 3,425,000 that may be purchased under the plan. ESPP contributions by employees were $0.3 million for the three months ended December 31, 2021 and December 31, 2020. Pursuant to the ESPP, 17,936 and 25,246 common shares were issued to employees during the three months ended December 31, 2021 and December 31, 2020, respectively. Shares are issued under the ESPP from treasury stock. As of December 31, 2021, 615,134 common shares were available for future issuances under the ESPP.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stock-based compensation expense that is included in the consolidated results of operations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Three months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r>
      <w:tr>
        <w:trPr>
          <w:trHeight w:val="22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before income taxes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 after income taxes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(in thousands, except per common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Options</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80" w:type="dxa"/>
            <w:vAlign w:val="bottom"/>
          </w:tcPr>
          <w:p>
            <w:pPr>
              <w:spacing w:after="0"/>
              <w:rPr>
                <w:sz w:val="17"/>
                <w:szCs w:val="17"/>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 Term (in</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years)</w:t>
            </w:r>
          </w:p>
        </w:tc>
        <w:tc>
          <w:tcPr>
            <w:tcW w:w="1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aggregate intrinsic value represents the total pre-tax intrinsic value, based on our closing stock price of $24.57 as of December 31, 2021, which</w:t>
      </w:r>
    </w:p>
    <w:p>
      <w:pPr>
        <w:spacing w:after="0" w:line="46"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would have been received by the option holders had all option holders exercised their options as of that date. The intrinsic value of an option is the amount by which the fair value of the underlying stock exceeds its exercise price.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total intrinsic value of all options exercised during the three months ended December 31, 2021 was $13.3 million and during the three months ended December 31, 2020 was $2.2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weighted average fair value, which was determined based upon the fair value of each option on the grant date utilizing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and the related assumptions: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32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Three months ended December 31,</w:t>
            </w:r>
          </w:p>
        </w:tc>
      </w:tr>
      <w:tr>
        <w:trPr>
          <w:trHeight w:val="223"/>
        </w:trPr>
        <w:tc>
          <w:tcPr>
            <w:tcW w:w="79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per option grant date fair value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$7.12</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Assumptions used for option grants: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 - 1.46%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0.51% - 0.54%</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Expected term</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6.00 years</w:t>
            </w:r>
          </w:p>
        </w:tc>
        <w:tc>
          <w:tcPr>
            <w:tcW w:w="1520" w:type="dxa"/>
            <w:vAlign w:val="bottom"/>
          </w:tcPr>
          <w:p>
            <w:pPr>
              <w:ind w:left="380"/>
              <w:spacing w:after="0"/>
              <w:rPr>
                <w:sz w:val="20"/>
                <w:szCs w:val="20"/>
                <w:color w:val="auto"/>
              </w:rPr>
            </w:pPr>
            <w:r>
              <w:rPr>
                <w:rFonts w:ascii="Arial" w:cs="Arial" w:eastAsia="Arial" w:hAnsi="Arial"/>
                <w:sz w:val="18"/>
                <w:szCs w:val="18"/>
                <w:color w:val="auto"/>
              </w:rPr>
              <w:t>6.00 years</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Weighted average volatility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44%</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2021, the total unrecognized compensation cost related to non-vested stock options was $4.8 million and the related weighted average period over which it is expected to be recognized is approximately 1.6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Stock Units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a summary of our non-vested restricted stock and performance stock units as of December 31, 2021 and changes during the three months then ended (in thousands, except per common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PSUs</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20" w:type="dxa"/>
            <w:vAlign w:val="bottom"/>
          </w:tcPr>
          <w:p>
            <w:pPr>
              <w:spacing w:after="0"/>
              <w:rPr>
                <w:sz w:val="14"/>
                <w:szCs w:val="14"/>
                <w:color w:val="auto"/>
              </w:rPr>
            </w:pPr>
          </w:p>
        </w:tc>
        <w:tc>
          <w:tcPr>
            <w:tcW w:w="194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Weighted Average Grant</w:t>
            </w:r>
          </w:p>
        </w:tc>
        <w:tc>
          <w:tcPr>
            <w:tcW w:w="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00" w:type="dxa"/>
            <w:vAlign w:val="bottom"/>
          </w:tcPr>
          <w:p>
            <w:pPr>
              <w:spacing w:after="0"/>
              <w:rPr>
                <w:sz w:val="14"/>
                <w:szCs w:val="14"/>
                <w:color w:val="auto"/>
              </w:rPr>
            </w:pPr>
          </w:p>
        </w:tc>
        <w:tc>
          <w:tcPr>
            <w:tcW w:w="196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3"/>
              </w:rPr>
              <w:t>Weighted Average Grant</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Date Fair Value</w:t>
            </w: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285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2021, the total unrecognized compensation cost related to non-vested stock units was $9.5 million. The related weighted average period over which this cost is expected to be recognized is approximately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management's discussion and analysis should be read in conjunction with our Annual Report on Form 10-K for the fiscal year ended September 30, 2022, as well as our subsequent reports on Form 10-Q and Form 8-K and any amendments to these reports.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discussion contains “forward-looking statements” within the meaning of the Private Securities Litigation Reform Act of 1995. All statements, other than statements of historical fact are forward-looking statements. Words such as "assume," "believe," "anticipate," "intend," "estimate," "target," "may," "will," "expect," "plan," "potential," "project," "should," or "continue" or the negative thereof or other expressions, which are predictions of or indicate future events and trends and which do not relate to historical matters, identify forward-looking statements.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COVID-19 pandemic and efforts to mitigate the same, risks related to the global economic downturn that commenced during the COVID-19 pandemic and the ability of companies like us to operate a global business in such conditions, the impacts of the present global supply chain and transportation difficulties affecting business globally,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such as our recently completed acquisition of Ventus.,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14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These and other risks, uncertainties and assumptions identified from time to time in our filings with the United States Securities and Exchange Commission, including without limitation, our Annual Report on Form 10-K for the year ended September 30, 2022,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our condensed consolidated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IoT Products &amp; Services segment offers products and services that help original equipment manufacturers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7, 2020, our Board of Directors approved a reorganization of our IoT Products &amp; Services business segment. The restructuring plan aligned the business segment's organization around product lines, each with a segment manager. Under this plan, we recorded charges of $1.0 million for employee termination charges and eliminated 19 employment positions primarily in the U.S. during the first half of fiscal 2021. We have grouped our products under the following categories: Cellular Routers, Console Servers, OEM Solutions and Infrastructure Management. Consequently, the measure of segment operating profit used by our chief operating decision maker ("CODM") changed. As a result, our disclosed measure of segment operating income has been updated. For further detail on segment performance, see the Revenue by Segment, Cost of Goods Sold and Gross Profit by Segment and Operating Income sections of this Item 2.</w:t>
      </w:r>
    </w:p>
    <w:p>
      <w:pPr>
        <w:spacing w:after="0" w:line="16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IoT Solutions segment primarily consists of our SmartSense by Digi® and Ventus operating segments. SmartSense offers wireless temperature and other condition-based monitoring services as well as employee task management services. These solutions are focused on the following vertical markets: food service, healthcare (primarily pharmacies and hospitals) and supply chain. We initially formed, expanded and enhanced our SmartSense by Digi business through four acquisitions.Our recent acquisition of Ventus makes us a leader in the provision of Managed Network-as-a-Service ("MNaaS") solutions that simplify the complexity of enterprise wide area network ("WAN") connectivity for our customers and provides us with a significant base of high margin subscription based recurring revenue. Ventus’s portfolio includes cellular wireless and fixed line WAN solutions for an array of connectivity applications in banking, healthcare, retail, gaming, hospitality and other sectors.</w:t>
      </w:r>
    </w:p>
    <w:p>
      <w:pPr>
        <w:spacing w:after="0" w:line="1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fiscal 2022, our key operating objectives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growth of our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Ventus businesses that are the base of our IoT Solutions segment;</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growth within our IoT Products &amp; Services segment through new product introductions;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integration of our recently acquired Ventus business.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utilize many financial, operational, and other metrics to evaluate our financial condition and financial performance. Below we highlight the metrics for the first quarter of fiscal 2022 that we feel are most important in these evaluations:</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revenue was $84.3 million, an increase of 15% over the first quarter of fiscal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gross profit was $47.9 million, an increase of 17% over the first quarter of fiscal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operating income was $3.8 million, compared to a net operating loss of $0.1 million for the first quarter of fiscal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Net income was $1.2 million, compared to a net loss of $0.3 million in the first fiscal quarter of fiscal 2021.</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earnings (loss) per share was $0.03, compared to $(0.01).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Adjusted EBITDA was $17.0 million, or 20.1% of total revenue, compared to $13.0 million, or 17.7% of total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fiscal quarter of fiscal 2021.</w:t>
      </w:r>
    </w:p>
    <w:p>
      <w:pPr>
        <w:spacing w:after="0" w:line="117" w:lineRule="exact"/>
        <w:rPr>
          <w:sz w:val="20"/>
          <w:szCs w:val="20"/>
          <w:color w:val="auto"/>
        </w:rPr>
      </w:pPr>
    </w:p>
    <w:p>
      <w:pPr>
        <w:ind w:left="660" w:right="4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net income per share was $12.7 million, or $0.36 per diluted share, compared to $9.9 million, or $0.32 per diluted share in the first fiscal quarter of fiscal 2021, an increase of 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Impacting First Quarter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Ventus</w:t>
      </w:r>
    </w:p>
    <w:p>
      <w:pPr>
        <w:spacing w:after="0" w:line="171" w:lineRule="exact"/>
        <w:rPr>
          <w:sz w:val="20"/>
          <w:szCs w:val="20"/>
          <w:color w:val="auto"/>
        </w:rPr>
      </w:pPr>
    </w:p>
    <w:p>
      <w:pPr>
        <w:ind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On November 1, 2021, we acquired Ventus for approximately $350 million in cash. The acquisition was funded through a combination of cash on hand and debt financing under an amended and restated credit facility committed by BMO Harris Bank N.A (see </w:t>
      </w:r>
      <w:hyperlink w:anchor="page13">
        <w:r>
          <w:rPr>
            <w:rFonts w:ascii="Arial" w:cs="Arial" w:eastAsia="Arial" w:hAnsi="Arial"/>
            <w:sz w:val="18"/>
            <w:szCs w:val="18"/>
            <w:u w:val="single" w:color="auto"/>
            <w:color w:val="0000FF"/>
          </w:rPr>
          <w:t>Note 7</w:t>
        </w:r>
      </w:hyperlink>
      <w:r>
        <w:rPr>
          <w:rFonts w:ascii="Arial" w:cs="Arial" w:eastAsia="Arial" w:hAnsi="Arial"/>
          <w:sz w:val="18"/>
          <w:szCs w:val="18"/>
          <w:color w:val="auto"/>
        </w:rPr>
        <w:t>). In the first quarter of fiscal 2022, the preliminary purchase price allocation was recorded , including related determinations of fair value and income tax implications. As a result, we recorded $117 million of goodwill on our condensed consolidated balance sheets. The results of operations following the acquisition date are now included in our first fiscal quarter 2022 results within our IoT Solutions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color w:val="auto"/>
                <w:w w:val="97"/>
              </w:rPr>
              <w:t>Three months ended December 31,</w:t>
            </w:r>
          </w:p>
        </w:tc>
        <w:tc>
          <w:tcPr>
            <w:tcW w:w="880" w:type="dxa"/>
            <w:vAlign w:val="bottom"/>
            <w:tcBorders>
              <w:bottom w:val="single" w:sz="8" w:color="auto"/>
            </w:tcBorders>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Arial" w:cs="Arial" w:eastAsia="Arial" w:hAnsi="Arial"/>
                <w:sz w:val="14"/>
                <w:szCs w:val="14"/>
                <w:color w:val="auto"/>
              </w:rPr>
              <w:t>% incr.</w:t>
            </w:r>
          </w:p>
        </w:tc>
      </w:tr>
      <w:tr>
        <w:trPr>
          <w:trHeight w:val="18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(decr.)</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r>
      <w:tr>
        <w:trPr>
          <w:trHeight w:val="18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32,127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43.9</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56.1</w:t>
            </w: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w:t>
            </w:r>
          </w:p>
        </w:tc>
      </w:tr>
      <w:tr>
        <w:trPr>
          <w:trHeight w:val="18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44,082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56.3</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(0.2)</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(0.8)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(1.0)</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62.3 %</w:t>
            </w:r>
          </w:p>
        </w:tc>
      </w:tr>
      <w:tr>
        <w:trPr>
          <w:trHeight w:val="18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(0.6)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w w:val="96"/>
              </w:rPr>
              <w:t>(0.4)%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color w:val="auto"/>
              </w:rPr>
              <w:t>Three months ended December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08"/>
              <w:spacing w:after="0"/>
              <w:rPr>
                <w:sz w:val="20"/>
                <w:szCs w:val="20"/>
                <w:color w:val="auto"/>
              </w:rPr>
            </w:pPr>
            <w:r>
              <w:rPr>
                <w:rFonts w:ascii="Arial" w:cs="Arial" w:eastAsia="Arial" w:hAnsi="Arial"/>
                <w:sz w:val="14"/>
                <w:szCs w:val="14"/>
                <w:color w:val="auto"/>
              </w:rPr>
              <w:t>% incr.</w:t>
            </w:r>
          </w:p>
        </w:tc>
      </w:tr>
      <w:tr>
        <w:trPr>
          <w:trHeight w:val="18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(decr.)</w:t>
            </w:r>
          </w:p>
        </w:tc>
      </w:tr>
      <w:tr>
        <w:trPr>
          <w:trHeight w:val="18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6"/>
        </w:trPr>
        <w:tc>
          <w:tcPr>
            <w:tcW w:w="414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65,744</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78.0 %</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61,780</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84.5 %</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6.4 %</w:t>
            </w:r>
          </w:p>
        </w:tc>
      </w:tr>
      <w:tr>
        <w:trPr>
          <w:trHeight w:val="192"/>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18,513</w:t>
            </w:r>
          </w:p>
        </w:tc>
        <w:tc>
          <w:tcPr>
            <w:tcW w:w="154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11,366</w:t>
            </w:r>
          </w:p>
        </w:tc>
        <w:tc>
          <w:tcPr>
            <w:tcW w:w="15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15.5</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62.9</w:t>
            </w:r>
          </w:p>
        </w:tc>
      </w:tr>
      <w:tr>
        <w:trPr>
          <w:trHeight w:val="183"/>
        </w:trPr>
        <w:tc>
          <w:tcPr>
            <w:tcW w:w="414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84,257</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73,146</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15.2 %</w:t>
            </w:r>
          </w:p>
        </w:tc>
      </w:tr>
      <w:tr>
        <w:trPr>
          <w:trHeight w:val="20"/>
        </w:trPr>
        <w:tc>
          <w:tcPr>
            <w:tcW w:w="4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Products &amp; Services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IoT Products &amp; Services revenue increased 6.4% for the three months ended December 31, 2021 as compared to the same period in the prior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primarily was a result of:</w:t>
      </w:r>
    </w:p>
    <w:p>
      <w:pPr>
        <w:spacing w:after="0" w:line="10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of our Cellular and OEM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sales of our Console Servers, Infrastructure Management portfolio and Technical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IoT Solutions revenue increased 62.9% for the three months ended December 31, 2021, as compared to the same periods in the prior fiscal year. This primarily was a result of:</w:t>
      </w:r>
    </w:p>
    <w:p>
      <w:pPr>
        <w:spacing w:after="0" w:line="103" w:lineRule="exact"/>
        <w:rPr>
          <w:sz w:val="20"/>
          <w:szCs w:val="20"/>
          <w:color w:val="auto"/>
        </w:rPr>
      </w:pPr>
    </w:p>
    <w:p>
      <w:pPr>
        <w:ind w:left="660" w:right="300" w:hanging="328"/>
        <w:spacing w:after="0" w:line="232" w:lineRule="auto"/>
        <w:tabs>
          <w:tab w:leader="none" w:pos="655" w:val="left"/>
        </w:tabs>
        <w:numPr>
          <w:ilvl w:val="0"/>
          <w:numId w:val="14"/>
        </w:numPr>
        <w:rPr>
          <w:rFonts w:ascii="Arial" w:cs="Arial" w:eastAsia="Arial" w:hAnsi="Arial"/>
          <w:sz w:val="22"/>
          <w:szCs w:val="22"/>
          <w:b w:val="1"/>
          <w:bCs w:val="1"/>
          <w:i w:val="1"/>
          <w:iCs w:val="1"/>
          <w:color w:val="auto"/>
        </w:rPr>
      </w:pPr>
      <w:r>
        <w:rPr>
          <w:rFonts w:ascii="Arial" w:cs="Arial" w:eastAsia="Arial" w:hAnsi="Arial"/>
          <w:sz w:val="18"/>
          <w:szCs w:val="18"/>
          <w:color w:val="auto"/>
        </w:rPr>
        <w:t>increased recurring revenue from our November 2021 acquisition of Ventus, as well as growth in both SmartSense and Ventus in the first fiscal quarter;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right="6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sites serviced primarily as a result of our acquisition of Ventus, as we service nearly 271,000 sites as of December 31, 2021, including the newly acquired Ventus endpoints, compared to 75,000 sites as of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customer implementation sales in SmartSense.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COST OF GOODS SOLD AND GROSS PROFIT BY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color w:val="auto"/>
              </w:rPr>
              <w:t>Three months ended December 31,</w:t>
            </w: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Pr>
          <w:p>
            <w:pPr>
              <w:ind w:left="440"/>
              <w:spacing w:after="0"/>
              <w:rPr>
                <w:sz w:val="20"/>
                <w:szCs w:val="20"/>
                <w:color w:val="auto"/>
              </w:rPr>
            </w:pPr>
            <w:r>
              <w:rPr>
                <w:rFonts w:ascii="Arial" w:cs="Arial" w:eastAsia="Arial" w:hAnsi="Arial"/>
                <w:sz w:val="14"/>
                <w:szCs w:val="14"/>
                <w:color w:val="auto"/>
              </w:rPr>
              <w:t>Basis point</w:t>
            </w:r>
          </w:p>
        </w:tc>
      </w:tr>
      <w:tr>
        <w:trPr>
          <w:trHeight w:val="18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color w:val="auto"/>
                <w:w w:val="89"/>
              </w:rPr>
              <w:t>2020</w:t>
            </w: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inc. (decr.)</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 of Goods Sold</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16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30,069</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45.7 %</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26,101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42.2 %</w:t>
            </w:r>
          </w:p>
        </w:tc>
        <w:tc>
          <w:tcPr>
            <w:tcW w:w="14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89"/>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4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60" w:type="dxa"/>
            <w:vAlign w:val="bottom"/>
            <w:tcBorders>
              <w:bottom w:val="single" w:sz="8" w:color="auto"/>
            </w:tcBorders>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34.1 %</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6,026</w:t>
            </w:r>
          </w:p>
        </w:tc>
        <w:tc>
          <w:tcPr>
            <w:tcW w:w="40" w:type="dxa"/>
            <w:vAlign w:val="bottom"/>
            <w:tcBorders>
              <w:bottom w:val="single" w:sz="8" w:color="auto"/>
            </w:tcBorders>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Total cost of goods sold</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36,376</w:t>
            </w:r>
          </w:p>
        </w:tc>
        <w:tc>
          <w:tcPr>
            <w:tcW w:w="60" w:type="dxa"/>
            <w:vAlign w:val="bottom"/>
            <w:tcBorders>
              <w:bottom w:val="single" w:sz="8" w:color="auto"/>
            </w:tcBorders>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43.2 %</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32,127</w:t>
            </w:r>
          </w:p>
        </w:tc>
        <w:tc>
          <w:tcPr>
            <w:tcW w:w="40" w:type="dxa"/>
            <w:vAlign w:val="bottom"/>
            <w:tcBorders>
              <w:bottom w:val="single" w:sz="8" w:color="auto"/>
            </w:tcBorders>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43.9 %</w:t>
            </w:r>
          </w:p>
        </w:tc>
        <w:tc>
          <w:tcPr>
            <w:tcW w:w="14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1"/>
        </w:trPr>
        <w:tc>
          <w:tcPr>
            <w:tcW w:w="4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40"/>
        </w:trPr>
        <w:tc>
          <w:tcPr>
            <w:tcW w:w="4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color w:val="auto"/>
              </w:rPr>
              <w:t>Three months ended December 31,</w:t>
            </w: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4"/>
                <w:szCs w:val="14"/>
                <w:color w:val="auto"/>
              </w:rPr>
              <w:t>Basis point</w:t>
            </w:r>
          </w:p>
        </w:tc>
      </w:tr>
      <w:tr>
        <w:trPr>
          <w:trHeight w:val="18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color w:val="auto"/>
                <w:w w:val="89"/>
              </w:rPr>
              <w:t>2020</w:t>
            </w: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inc. (decr.)</w:t>
            </w: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16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35,675</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54.3 %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35,679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57.8 %</w:t>
            </w:r>
          </w:p>
        </w:tc>
        <w:tc>
          <w:tcPr>
            <w:tcW w:w="14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89"/>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4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12,206</w:t>
            </w:r>
          </w:p>
        </w:tc>
        <w:tc>
          <w:tcPr>
            <w:tcW w:w="60" w:type="dxa"/>
            <w:vAlign w:val="bottom"/>
            <w:tcBorders>
              <w:bottom w:val="single" w:sz="8" w:color="auto"/>
            </w:tcBorders>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65.9 %</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5,340</w:t>
            </w:r>
          </w:p>
        </w:tc>
        <w:tc>
          <w:tcPr>
            <w:tcW w:w="40" w:type="dxa"/>
            <w:vAlign w:val="bottom"/>
            <w:tcBorders>
              <w:bottom w:val="single" w:sz="8" w:color="auto"/>
            </w:tcBorders>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Total gross profit</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47,881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56.8 %</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41,019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56.1 %</w:t>
            </w:r>
          </w:p>
        </w:tc>
        <w:tc>
          <w:tcPr>
            <w:tcW w:w="14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 &amp; Services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IoT Products &amp; Services gross profit margin decreased 349 basis points for the three months ended December 31, 2021 as compared to the same period in the prior fiscal year. This decrease primarily was a result of:</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and customer mix and increased production and distribution costs due to the continuing supply chain challenges.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IoT Solutions gross profit margin increased (1,895) basis points for the three months ended December 31, 2021 as compared to the same periods in the prior fiscal year. This increase primarily was a result of:</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recurring subscription revenue, including growth from the acquisition of Ventus, which typically has high gross margin.</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Below is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color w:val="auto"/>
                <w:w w:val="96"/>
              </w:rPr>
              <w:t>Three months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8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460" w:type="dxa"/>
            <w:vAlign w:val="bottom"/>
          </w:tcPr>
          <w:p>
            <w:pPr>
              <w:spacing w:after="0"/>
              <w:rPr>
                <w:sz w:val="10"/>
                <w:szCs w:val="10"/>
                <w:color w:val="auto"/>
              </w:rPr>
            </w:pPr>
          </w:p>
        </w:tc>
        <w:tc>
          <w:tcPr>
            <w:tcW w:w="12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2021</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2020</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right="188"/>
              <w:spacing w:after="0" w:line="122" w:lineRule="exact"/>
              <w:rPr>
                <w:sz w:val="20"/>
                <w:szCs w:val="20"/>
                <w:color w:val="auto"/>
              </w:rPr>
            </w:pPr>
            <w:r>
              <w:rPr>
                <w:rFonts w:ascii="Arial" w:cs="Arial" w:eastAsia="Arial" w:hAnsi="Arial"/>
                <w:sz w:val="14"/>
                <w:szCs w:val="14"/>
                <w:color w:val="auto"/>
                <w:w w:val="98"/>
              </w:rPr>
              <w:t>incr.</w:t>
            </w:r>
          </w:p>
        </w:tc>
        <w:tc>
          <w:tcPr>
            <w:tcW w:w="12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4"/>
                <w:szCs w:val="14"/>
                <w:color w:val="auto"/>
                <w:w w:val="90"/>
              </w:rPr>
              <w:t>incr.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(decr.)</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rPr>
              <w:t>Sales and marketing</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18.2 %</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14,415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Restructuring charge</w:t>
            </w: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44,082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52.3 %</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56.3 %</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$2.9 million increase in operating expenses in the first quarter of fiscal 2022 from the first quarter of fiscal 2021 primarily was the result of:</w:t>
      </w:r>
    </w:p>
    <w:p>
      <w:pPr>
        <w:spacing w:after="0" w:line="129"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incremental $3.3 million in M&amp;A expense related to the Ventus acquisition in November 2021;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$4.7 million in incremental operating expenses from recent acquisitions including Haxiot, Ctek and Ventus.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$5.8 million in contingent consideration expenses;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$0.6 million in restructuring charges.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Operating income was $3.8 million for the three months ended December 31, 2021, compared to an operating loss of $0.1 million for the three months ended December 31, 2020.</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IoT Product &amp; Services provided operating income of $4.1 million for the three months ended December 31, 2021 compared to $1.3 million for the three months ended December 31, 2020, an increase of $2.8 million, or 224.3%. Drivers for the changes in operating income for the quarter are described above in the revenue, gross profit and operating expenses details.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IoT Solutions had an operating loss of $(0.3) million for the three months ended December 31, 2021 compared to an operating loss of $(1.4) million for the three months ended December 31, 2020, an increase of $1.1 million, or (77.6)%. Drivers for the improvement in operating loss are described above in the revenue, gross profit and operating expenses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color w:val="auto"/>
                <w:w w:val="97"/>
              </w:rPr>
              <w:t>Three months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480" w:type="dxa"/>
            <w:vAlign w:val="bottom"/>
          </w:tcPr>
          <w:p>
            <w:pPr>
              <w:spacing w:after="0"/>
              <w:rPr>
                <w:sz w:val="10"/>
                <w:szCs w:val="10"/>
                <w:color w:val="auto"/>
              </w:rPr>
            </w:pP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2021</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2020</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right="188"/>
              <w:spacing w:after="0" w:line="122" w:lineRule="exact"/>
              <w:rPr>
                <w:sz w:val="20"/>
                <w:szCs w:val="20"/>
                <w:color w:val="auto"/>
              </w:rPr>
            </w:pPr>
            <w:r>
              <w:rPr>
                <w:rFonts w:ascii="Arial" w:cs="Arial" w:eastAsia="Arial" w:hAnsi="Arial"/>
                <w:sz w:val="14"/>
                <w:szCs w:val="14"/>
                <w:color w:val="auto"/>
                <w:w w:val="98"/>
              </w:rPr>
              <w:t>incr.</w:t>
            </w:r>
          </w:p>
        </w:tc>
        <w:tc>
          <w:tcPr>
            <w:tcW w:w="12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4"/>
                <w:szCs w:val="14"/>
                <w:color w:val="auto"/>
                <w:w w:val="90"/>
              </w:rPr>
              <w:t>incr.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(decr.)</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expense, net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440" w:type="dxa"/>
            <w:vAlign w:val="bottom"/>
            <w:gridSpan w:val="3"/>
          </w:tcPr>
          <w:p>
            <w:pPr>
              <w:jc w:val="right"/>
              <w:ind w:right="7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80" w:type="dxa"/>
            <w:vAlign w:val="bottom"/>
          </w:tcPr>
          <w:p>
            <w:pPr>
              <w:ind w:left="10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expense, net</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other expense, net</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81" w:lineRule="exact"/>
        <w:rPr>
          <w:sz w:val="20"/>
          <w:szCs w:val="20"/>
          <w:color w:val="auto"/>
        </w:rPr>
      </w:pPr>
    </w:p>
    <w:p>
      <w:pPr>
        <w:ind w:right="16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Other expense, net, increased $(4.4) million for the three months ended December 31, 2021, as compared to the same period in the prior fiscal year. The increase was primarily a result of an increase to our interest expense as we refinanced our revolving loan with a new credit facility in November 2021 and wrote off a portion of the deferred financing fees associated with our prior credit facility. (see </w:t>
      </w:r>
      <w:hyperlink w:anchor="page13">
        <w:r>
          <w:rPr>
            <w:rFonts w:ascii="Arial" w:cs="Arial" w:eastAsia="Arial" w:hAnsi="Arial"/>
            <w:sz w:val="16"/>
            <w:szCs w:val="16"/>
            <w:u w:val="single" w:color="auto"/>
            <w:color w:val="0000FF"/>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9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7">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INFORMATION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Non-GAAP measures are not substitutes for GAAP measures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Below are reconciliations from GAAP to Non-GAAP information that we feel is important to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color w:val="auto"/>
              </w:rPr>
              <w:t>Three months ended December 31,</w:t>
            </w:r>
          </w:p>
        </w:tc>
        <w:tc>
          <w:tcPr>
            <w:tcW w:w="12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auto"/>
            </w:tcBorders>
          </w:tcPr>
          <w:p>
            <w:pPr>
              <w:spacing w:after="0"/>
              <w:rPr>
                <w:sz w:val="18"/>
                <w:szCs w:val="18"/>
                <w:color w:val="auto"/>
              </w:rPr>
            </w:pPr>
          </w:p>
        </w:tc>
      </w:tr>
      <w:tr>
        <w:trPr>
          <w:trHeight w:val="162"/>
        </w:trPr>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 of total</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359"/>
              <w:spacing w:after="0" w:line="162" w:lineRule="exact"/>
              <w:rPr>
                <w:sz w:val="20"/>
                <w:szCs w:val="20"/>
                <w:color w:val="auto"/>
              </w:rPr>
            </w:pPr>
            <w:r>
              <w:rPr>
                <w:rFonts w:ascii="Arial" w:cs="Arial" w:eastAsia="Arial" w:hAnsi="Arial"/>
                <w:sz w:val="16"/>
                <w:szCs w:val="16"/>
                <w:color w:val="auto"/>
              </w:rPr>
              <w:t>% of total</w:t>
            </w:r>
          </w:p>
        </w:tc>
      </w:tr>
      <w:tr>
        <w:trPr>
          <w:trHeight w:val="209"/>
        </w:trPr>
        <w:tc>
          <w:tcPr>
            <w:tcW w:w="5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color w:val="auto"/>
              </w:rPr>
              <w:t>revenue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color w:val="auto"/>
              </w:rPr>
              <w:t>revenue</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480" w:type="dxa"/>
            <w:vAlign w:val="bottom"/>
            <w:tcBorders>
              <w:top w:val="single" w:sz="8" w:color="CCEEFF"/>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5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Changes in fair value of contingent consideration</w:t>
            </w:r>
          </w:p>
        </w:tc>
        <w:tc>
          <w:tcPr>
            <w:tcW w:w="48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expense</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and Net Income (Loss) per Diluted Share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rPr>
              <w:t>Three months ended December 31,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and net income (loss) per diluted share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Other non-operating expense</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expense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Changes in fair value of contingent consideration</w:t>
            </w: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Interest expense related to acquisition</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 effect from the above adjustments </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Discrete tax benefits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Adjusted net income and adjusted net income per diluted share </w:t>
            </w:r>
            <w:r>
              <w:rPr>
                <w:rFonts w:ascii="Arial" w:cs="Arial" w:eastAsia="Arial" w:hAnsi="Arial"/>
                <w:sz w:val="21"/>
                <w:szCs w:val="21"/>
                <w:color w:val="auto"/>
                <w:vertAlign w:val="superscript"/>
              </w:rPr>
              <w:t>(3)</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common shares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30,532</w:t>
            </w:r>
          </w:p>
        </w:tc>
        <w:tc>
          <w:tcPr>
            <w:tcW w:w="0" w:type="dxa"/>
            <w:vAlign w:val="bottom"/>
          </w:tcPr>
          <w:p>
            <w:pPr>
              <w:spacing w:after="0"/>
              <w:rPr>
                <w:sz w:val="1"/>
                <w:szCs w:val="1"/>
                <w:color w:val="auto"/>
              </w:rPr>
            </w:pPr>
          </w:p>
        </w:tc>
      </w:tr>
      <w:tr>
        <w:trPr>
          <w:trHeight w:val="24"/>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tax effect from the above adjustments assumes an estimated effective tax rate of 18.0% for fiscal 2022 and fiscal 2021 based on adjusted net income.</w:t>
      </w:r>
    </w:p>
    <w:p>
      <w:pPr>
        <w:spacing w:after="0" w:line="28" w:lineRule="exact"/>
        <w:rPr>
          <w:rFonts w:ascii="Arial" w:cs="Arial" w:eastAsia="Arial" w:hAnsi="Arial"/>
          <w:sz w:val="15"/>
          <w:szCs w:val="15"/>
          <w:color w:val="auto"/>
        </w:rPr>
      </w:pPr>
    </w:p>
    <w:p>
      <w:pPr>
        <w:ind w:left="340" w:right="300" w:hanging="332"/>
        <w:spacing w:after="0" w:line="274"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For the three months ended </w:t>
      </w:r>
      <w:r>
        <w:rPr>
          <w:rFonts w:ascii="Arial" w:cs="Arial" w:eastAsia="Arial" w:hAnsi="Arial"/>
          <w:sz w:val="16"/>
          <w:szCs w:val="16"/>
          <w:color w:val="auto"/>
        </w:rPr>
        <w:t>December 31, 2021</w:t>
      </w:r>
      <w:r>
        <w:rPr>
          <w:rFonts w:ascii="Arial" w:cs="Arial" w:eastAsia="Arial" w:hAnsi="Arial"/>
          <w:sz w:val="15"/>
          <w:szCs w:val="15"/>
          <w:color w:val="auto"/>
        </w:rPr>
        <w:t>, discrete tax benefits primarily are a result of excess tax benefits recognized on stock compensation. For the three months ended December 31, 2020, discrete tax benefits primarily are a result of excess tax benefits recognized on stock compensation.</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net income per diluted share may not add due to the use of rounded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Historically we have financed our operations and capital expenditures principally with funds generated from operations. Our liquidity requirements arise from our working capital needs, and to a lesser extent, our need to fund capital expenditures to support our current operations and facilitate growth and expansion.</w:t>
      </w:r>
    </w:p>
    <w:p>
      <w:pPr>
        <w:spacing w:after="0" w:line="157" w:lineRule="exact"/>
        <w:rPr>
          <w:sz w:val="20"/>
          <w:szCs w:val="20"/>
          <w:color w:val="auto"/>
        </w:rPr>
      </w:pPr>
    </w:p>
    <w:p>
      <w:pPr>
        <w:ind w:right="2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November 1, 2021, we entered into a second amended and restated credit agreement consisting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December 31, 2021,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hyperlink w:anchor="page13">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condensed consolidated financial statements.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positive cash flows from operations for the foreseeable future. Our first fiscal quarter operating cash flows were negatively impacted by changes in operating assets and liabilities (net of acquisitions) that we do not anticipate in future periods. We believe that our current cash and cash equivalents balances, cash generated from operations and our ability to borrow under our credit facility will be sufficient to fund our business operations and capital expenditures for the next twelve months and beyond. As follows, our condensed consolidated statements of cash flows for the three months ended December 31, 2021 and 2020 is summarized: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Year ended September 30,</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2020</w:t>
            </w:r>
          </w:p>
        </w:tc>
      </w:tr>
      <w:tr>
        <w:trPr>
          <w:trHeight w:val="186"/>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8,312</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(348,047)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192"/>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(12,793)</w:t>
            </w:r>
          </w:p>
        </w:tc>
      </w:tr>
      <w:tr>
        <w:trPr>
          <w:trHeight w:val="186"/>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r>
      <w:tr>
        <w:trPr>
          <w:trHeight w:val="211"/>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operating activities increased $18.2 million primarily as a result of:</w:t>
      </w:r>
    </w:p>
    <w:p>
      <w:pPr>
        <w:spacing w:after="0" w:line="185"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increased reduction in operating assets and liabilities (net of acquisitions) of $18.2 million. This primarily was due to the capitalization of $13.5 million in costs related to the issuance of debt in November and an increase in inventory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of $5.8 million in contingent consideration fair value changes,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increases in net income, depreciation and amortization expenses and stock-based compensation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 increased $347.3 million primarily as a result of:</w:t>
      </w:r>
    </w:p>
    <w:p>
      <w:pPr>
        <w:spacing w:after="0" w:line="198" w:lineRule="exact"/>
        <w:rPr>
          <w:sz w:val="20"/>
          <w:szCs w:val="20"/>
          <w:color w:val="auto"/>
        </w:rPr>
      </w:pPr>
    </w:p>
    <w:p>
      <w:pPr>
        <w:ind w:left="660" w:right="5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 increase of $347.6 million related to the purchase of our November 2021 acquisition of Ventus (see </w:t>
      </w:r>
      <w:hyperlink w:anchor="page8">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partial offset to this increase was a reduction of $0.3 million related to purchases of property, equipment, and facilities improvements compared to the prior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 increased $265.5 million primarily as a result of:</w:t>
      </w:r>
    </w:p>
    <w:p>
      <w:pPr>
        <w:spacing w:after="0" w:line="198" w:lineRule="exact"/>
        <w:rPr>
          <w:sz w:val="20"/>
          <w:szCs w:val="20"/>
          <w:color w:val="auto"/>
        </w:rPr>
      </w:pPr>
    </w:p>
    <w:p>
      <w:pPr>
        <w:ind w:left="660" w:right="10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 increase of $350.0 million in proceeds from the Term Loan issued in November 2021 partially offset by payments of $45.8 million of the previous credit facility, an early payment of $50.0 million on the new issuance and the payment of compared to $15.6 million in debt payments in first fiscal quarter 2020 (see </w:t>
      </w:r>
      <w:hyperlink w:anchor="page13">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partially offset by a $4.6 million increase in taxes paid for net share settlements.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2021: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color w:val="auto"/>
                <w:w w:val="93"/>
              </w:rPr>
              <w:t>Payments due by fiscal period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6"/>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Less than 1 year</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3-5 years</w:t>
            </w:r>
          </w:p>
        </w:tc>
        <w:tc>
          <w:tcPr>
            <w:tcW w:w="18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Thereafter</w:t>
            </w:r>
          </w:p>
        </w:tc>
      </w:tr>
      <w:tr>
        <w:trPr>
          <w:trHeight w:val="186"/>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23,999</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8,829</w:t>
            </w:r>
          </w:p>
        </w:tc>
      </w:tr>
      <w:tr>
        <w:trPr>
          <w:trHeight w:val="186"/>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6,200</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216,875</w:t>
            </w:r>
          </w:p>
        </w:tc>
      </w:tr>
      <w:tr>
        <w:trPr>
          <w:trHeight w:val="186"/>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on long-term debt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85,912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23,829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18,788</w:t>
            </w:r>
          </w:p>
        </w:tc>
      </w:tr>
      <w:tr>
        <w:trPr>
          <w:trHeight w:val="211"/>
        </w:trPr>
        <w:tc>
          <w:tcPr>
            <w:tcW w:w="5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416,111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69,089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64,240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244,492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$2.9 million as of December 31, 2021.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18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information on new accounting pronouncements, see </w:t>
      </w:r>
      <w:hyperlink w:anchor="page8">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198"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are exposed to market risks related to fluctuations in interest rates on amounts borrowed under the Credit Facility. As of December 31, 2021, we had $300.0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 1.00%. The applicable margin for loans under the Revolving Credit Facility is in a range of 4.00-3.75% for LIBOR loans and 3.00 to 2.75% for base rate loans, depending on Digi’s consolidated leverage ratio. Based on the balance sheet position for the Revolving Loan at December 31, 2021, the annualized effect of a 25 basis point change in interest rates would increase or decrease our interest expense by $0.8 million. For additional information, see </w:t>
      </w:r>
      <w:hyperlink w:anchor="page13">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condensed consolidated financial statements. For our Credit Facility, interest rate changes generally do not affect the fair value of the debt instruments, but do impact future earnings and cash flows, assuming other factors are held constant.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10% change in the average exchange rate for the Euro, British Pound, Japanese Yen and Canadian Dollar to the U.S. Dollar during the first three months of fiscal 2022 would have resulted in a 0.8% increase or decrease in stockholders' equity due to foreign currency translation.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8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2021 that have materially affected, or are reasonably likely to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6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disclosure set forth in </w:t>
      </w:r>
      <w:hyperlink w:anchor="page19">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 in Part I, Item 1 of this Form 10-Q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presents the information with respect to purchases made by or on behalf of Digi International Inc. or any "affiliated purchaser" (as defined in Rule 10b-18(a)(3) under the Securities Exchange Act of 1934), of our common stock during the first quarter of fiscal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 Shares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w w:val="97"/>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6"/>
              </w:rPr>
              <w:t>Purchased as Part of a</w:t>
            </w:r>
          </w:p>
        </w:tc>
        <w:tc>
          <w:tcPr>
            <w:tcW w:w="18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3"/>
              </w:rPr>
              <w:t>of Shares that May Yet</w:t>
            </w:r>
          </w:p>
        </w:tc>
        <w:tc>
          <w:tcPr>
            <w:tcW w:w="0" w:type="dxa"/>
            <w:vAlign w:val="bottom"/>
          </w:tcPr>
          <w:p>
            <w:pPr>
              <w:spacing w:after="0"/>
              <w:rPr>
                <w:sz w:val="1"/>
                <w:szCs w:val="1"/>
                <w:color w:val="auto"/>
              </w:rPr>
            </w:pPr>
          </w:p>
        </w:tc>
      </w:tr>
      <w:tr>
        <w:trPr>
          <w:trHeight w:val="175"/>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Publicly Announced</w:t>
            </w:r>
          </w:p>
        </w:tc>
        <w:tc>
          <w:tcPr>
            <w:tcW w:w="18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0"/>
              </w:rPr>
              <w:t>Be Purchased Under the</w:t>
            </w: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Arial" w:cs="Arial" w:eastAsia="Arial" w:hAnsi="Arial"/>
                <w:sz w:val="18"/>
                <w:szCs w:val="18"/>
                <w:color w:val="auto"/>
                <w:w w:val="82"/>
              </w:rPr>
              <w:t>Purchased</w:t>
            </w:r>
            <w:r>
              <w:rPr>
                <w:rFonts w:ascii="Arial" w:cs="Arial" w:eastAsia="Arial" w:hAnsi="Arial"/>
                <w:sz w:val="23"/>
                <w:szCs w:val="23"/>
                <w:color w:val="auto"/>
                <w:w w:val="82"/>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59,374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20" w:hanging="332"/>
        <w:spacing w:after="0" w:line="275" w:lineRule="auto"/>
        <w:tabs>
          <w:tab w:leader="none" w:pos="3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shares reported were forfeited by employees in connection with the satisfaction of tax withholding obligations related to the vesting of restricted stock units and cashless exercises of stock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Exhibit No.</w:t>
            </w:r>
          </w:p>
        </w:tc>
        <w:tc>
          <w:tcPr>
            <w:tcW w:w="784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rPr>
              <w:t>Description</w:t>
            </w:r>
          </w:p>
        </w:tc>
        <w:tc>
          <w:tcPr>
            <w:tcW w:w="1540" w:type="dxa"/>
            <w:vAlign w:val="bottom"/>
          </w:tcPr>
          <w:p>
            <w:pPr>
              <w:ind w:left="20"/>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169"/>
        </w:trPr>
        <w:tc>
          <w:tcPr>
            <w:tcW w:w="9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540"/>
              <w:spacing w:after="0" w:line="169" w:lineRule="exact"/>
              <w:rPr>
                <w:sz w:val="20"/>
                <w:szCs w:val="20"/>
                <w:color w:val="auto"/>
              </w:rPr>
            </w:pPr>
            <w:r>
              <w:rPr>
                <w:rFonts w:ascii="Arial" w:cs="Arial" w:eastAsia="Arial" w:hAnsi="Arial"/>
                <w:sz w:val="18"/>
                <w:szCs w:val="18"/>
                <w:color w:val="auto"/>
                <w:w w:val="99"/>
              </w:rPr>
              <w:t>(a)</w:t>
            </w:r>
          </w:p>
        </w:tc>
        <w:tc>
          <w:tcPr>
            <w:tcW w:w="7840" w:type="dxa"/>
            <w:vAlign w:val="bottom"/>
            <w:gridSpan w:val="17"/>
          </w:tcPr>
          <w:p>
            <w:pPr>
              <w:spacing w:after="0" w:line="169" w:lineRule="exact"/>
              <w:rPr>
                <w:sz w:val="20"/>
                <w:szCs w:val="20"/>
                <w:color w:val="auto"/>
              </w:rPr>
            </w:pPr>
            <w:r>
              <w:rPr>
                <w:rFonts w:ascii="Arial" w:cs="Arial" w:eastAsia="Arial" w:hAnsi="Arial"/>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c>
          <w:tcPr>
            <w:tcW w:w="0" w:type="dxa"/>
            <w:vAlign w:val="bottom"/>
          </w:tcPr>
          <w:p>
            <w:pPr>
              <w:spacing w:after="0"/>
              <w:rPr>
                <w:sz w:val="1"/>
                <w:szCs w:val="1"/>
                <w:color w:val="auto"/>
              </w:rPr>
            </w:pPr>
          </w:p>
        </w:tc>
      </w:tr>
      <w:tr>
        <w:trPr>
          <w:trHeight w:val="404"/>
        </w:trPr>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(b)</w:t>
            </w:r>
          </w:p>
        </w:tc>
        <w:tc>
          <w:tcPr>
            <w:tcW w:w="7840" w:type="dxa"/>
            <w:vAlign w:val="bottom"/>
            <w:gridSpan w:val="17"/>
          </w:tcPr>
          <w:p>
            <w:pPr>
              <w:spacing w:after="0"/>
              <w:rPr>
                <w:rFonts w:ascii="Arial" w:cs="Arial" w:eastAsia="Arial" w:hAnsi="Arial"/>
                <w:sz w:val="18"/>
                <w:szCs w:val="18"/>
                <w:color w:val="0000FF"/>
              </w:rPr>
            </w:pPr>
            <w:hyperlink r:id="rId46">
              <w:r>
                <w:rPr>
                  <w:rFonts w:ascii="Arial" w:cs="Arial" w:eastAsia="Arial" w:hAnsi="Arial"/>
                  <w:sz w:val="18"/>
                  <w:szCs w:val="18"/>
                  <w:color w:val="0000FF"/>
                </w:rPr>
                <w:t xml:space="preserve">Amended and Restated By-Laws of the Company </w:t>
              </w:r>
            </w:hyperlink>
            <w:r>
              <w:rPr>
                <w:rFonts w:ascii="Arial" w:cs="Arial" w:eastAsia="Arial" w:hAnsi="Arial"/>
                <w:sz w:val="18"/>
                <w:szCs w:val="18"/>
                <w:color w:val="000000"/>
              </w:rPr>
              <w:t>(2)</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c>
          <w:tcPr>
            <w:tcW w:w="0" w:type="dxa"/>
            <w:vAlign w:val="bottom"/>
          </w:tcPr>
          <w:p>
            <w:pPr>
              <w:spacing w:after="0"/>
              <w:rPr>
                <w:sz w:val="1"/>
                <w:szCs w:val="1"/>
                <w:color w:val="auto"/>
              </w:rPr>
            </w:pPr>
          </w:p>
        </w:tc>
      </w:tr>
      <w:tr>
        <w:trPr>
          <w:trHeight w:val="229"/>
        </w:trPr>
        <w:tc>
          <w:tcPr>
            <w:tcW w:w="1720" w:type="dxa"/>
            <w:vAlign w:val="bottom"/>
            <w:gridSpan w:val="3"/>
          </w:tcPr>
          <w:p>
            <w:pPr>
              <w:ind w:left="760"/>
              <w:spacing w:after="0"/>
              <w:rPr>
                <w:sz w:val="20"/>
                <w:szCs w:val="20"/>
                <w:color w:val="auto"/>
              </w:rPr>
            </w:pPr>
            <w:r>
              <w:rPr>
                <w:rFonts w:ascii="Arial" w:cs="Arial" w:eastAsia="Arial" w:hAnsi="Arial"/>
                <w:sz w:val="18"/>
                <w:szCs w:val="18"/>
                <w:color w:val="auto"/>
              </w:rPr>
              <w:t>10 (a)</w:t>
            </w:r>
          </w:p>
        </w:tc>
        <w:tc>
          <w:tcPr>
            <w:tcW w:w="7840" w:type="dxa"/>
            <w:vAlign w:val="bottom"/>
            <w:gridSpan w:val="17"/>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Purchase Agreement dated as of November 1, 2021 by and among Keith Charette, Steven Glaser, The Keith</w:t>
              </w:r>
            </w:hyperlink>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60" w:type="dxa"/>
            <w:vAlign w:val="bottom"/>
            <w:tcBorders>
              <w:top w:val="single" w:sz="8" w:color="0000FF"/>
            </w:tcBorders>
            <w:gridSpan w:val="14"/>
          </w:tcPr>
          <w:p>
            <w:pPr>
              <w:spacing w:after="0" w:line="156"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R. Charette DE Incomplete – Gift Non-Grantor Trust, Ventus Networks, LLC, Ventus Holdings,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Arial" w:cs="Arial" w:eastAsia="Arial" w:hAnsi="Arial"/>
                <w:sz w:val="18"/>
                <w:szCs w:val="18"/>
                <w:color w:val="auto"/>
                <w:w w:val="89"/>
              </w:rPr>
              <w:t>Reference</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32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Ventus IP Holdings, LLC, Ventus Wireless Services, Inc., Ventus Wireless CA, Inc., VClipz, Inc., and</w:t>
              </w:r>
            </w:hyperlink>
          </w:p>
        </w:tc>
        <w:tc>
          <w:tcPr>
            <w:tcW w:w="520" w:type="dxa"/>
            <w:vAlign w:val="bottom"/>
            <w:gridSpan w:val="8"/>
          </w:tcPr>
          <w:p>
            <w:pPr>
              <w:ind w:left="40"/>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Digi</w:t>
              </w:r>
            </w:hyperlink>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 xml:space="preserve">International Inc. </w:t>
              </w:r>
              <w:r>
                <w:rPr>
                  <w:rFonts w:ascii="Arial" w:cs="Arial" w:eastAsia="Arial" w:hAnsi="Arial"/>
                  <w:sz w:val="18"/>
                  <w:szCs w:val="18"/>
                  <w:color w:val="000000"/>
                </w:rPr>
                <w:t>(3)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10 (b)</w:t>
            </w:r>
          </w:p>
        </w:tc>
        <w:tc>
          <w:tcPr>
            <w:tcW w:w="7840" w:type="dxa"/>
            <w:vAlign w:val="bottom"/>
            <w:gridSpan w:val="17"/>
          </w:tcPr>
          <w:p>
            <w:pPr>
              <w:spacing w:after="0"/>
              <w:rPr>
                <w:rFonts w:ascii="Arial" w:cs="Arial" w:eastAsia="Arial" w:hAnsi="Arial"/>
                <w:sz w:val="18"/>
                <w:szCs w:val="18"/>
                <w:color w:val="0000FF"/>
                <w:w w:val="96"/>
              </w:rPr>
            </w:pPr>
            <w:hyperlink r:id="rId48">
              <w:r>
                <w:rPr>
                  <w:rFonts w:ascii="Arial" w:cs="Arial" w:eastAsia="Arial" w:hAnsi="Arial"/>
                  <w:sz w:val="18"/>
                  <w:szCs w:val="18"/>
                  <w:color w:val="0000FF"/>
                  <w:w w:val="96"/>
                </w:rPr>
                <w:t>Second Amended and Restated Credit Agreement dated as of November 1, 2021, by and among Digi</w:t>
              </w:r>
            </w:hyperlink>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vMerge w:val="restart"/>
          </w:tcPr>
          <w:p>
            <w:pPr>
              <w:jc w:val="center"/>
              <w:ind w:left="30"/>
              <w:spacing w:after="0" w:line="176" w:lineRule="exact"/>
              <w:rPr>
                <w:sz w:val="20"/>
                <w:szCs w:val="20"/>
                <w:color w:val="auto"/>
              </w:rPr>
            </w:pPr>
            <w:r>
              <w:rPr>
                <w:rFonts w:ascii="Arial" w:cs="Arial" w:eastAsia="Arial" w:hAnsi="Arial"/>
                <w:sz w:val="18"/>
                <w:szCs w:val="18"/>
                <w:color w:val="auto"/>
                <w:w w:val="89"/>
              </w:rPr>
              <w:t>Reference</w:t>
            </w: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40" w:type="dxa"/>
            <w:vAlign w:val="bottom"/>
            <w:gridSpan w:val="17"/>
          </w:tcPr>
          <w:p>
            <w:pPr>
              <w:spacing w:after="0" w:line="15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International Inc., as the Borrower, BMO Harris Bank N.A., as administrative agent and collateral agent,</w:t>
              </w:r>
            </w:hyperlink>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40" w:type="dxa"/>
            <w:vAlign w:val="bottom"/>
            <w:gridSpan w:val="17"/>
          </w:tcPr>
          <w:p>
            <w:pPr>
              <w:spacing w:after="0" w:line="15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BMO Capital Markets Corp., as sole lead arranger and book runner, and the other lenders from time to time</w:t>
              </w:r>
            </w:hyperlink>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 xml:space="preserve">party thereto. </w:t>
              </w:r>
              <w:r>
                <w:rPr>
                  <w:rFonts w:ascii="Arial" w:cs="Arial" w:eastAsia="Arial" w:hAnsi="Arial"/>
                  <w:sz w:val="18"/>
                  <w:szCs w:val="18"/>
                  <w:color w:val="000000"/>
                </w:rPr>
                <w:t>(4)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10 (c)</w:t>
            </w:r>
          </w:p>
        </w:tc>
        <w:tc>
          <w:tcPr>
            <w:tcW w:w="7840" w:type="dxa"/>
            <w:vAlign w:val="bottom"/>
            <w:gridSpan w:val="17"/>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Amended and Restated Credit Agreement dated December 22, 2021, by and among Digi International</w:t>
              </w:r>
            </w:hyperlink>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 as the Borrower, BMO Harris Bank N.A., as the administrative agent and collateral agent, BMO Capital</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Arial" w:cs="Arial" w:eastAsia="Arial" w:hAnsi="Arial"/>
                <w:sz w:val="18"/>
                <w:szCs w:val="18"/>
                <w:color w:val="auto"/>
                <w:w w:val="89"/>
              </w:rPr>
              <w:t>Reference</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0" w:type="dxa"/>
            <w:vAlign w:val="bottom"/>
            <w:gridSpan w:val="16"/>
          </w:tcPr>
          <w:p>
            <w:pPr>
              <w:spacing w:after="0" w:line="15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Markets Corp, as the sole lead arranger and book runner, and other lenders from time-to-time party thereto.</w:t>
              </w:r>
            </w:hyperlink>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168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6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10 (d)</w:t>
            </w:r>
          </w:p>
        </w:tc>
        <w:tc>
          <w:tcPr>
            <w:tcW w:w="7840" w:type="dxa"/>
            <w:vAlign w:val="bottom"/>
            <w:gridSpan w:val="17"/>
          </w:tcPr>
          <w:p>
            <w:pPr>
              <w:spacing w:after="0"/>
              <w:rPr>
                <w:rFonts w:ascii="Arial" w:cs="Arial" w:eastAsia="Arial" w:hAnsi="Arial"/>
                <w:sz w:val="18"/>
                <w:szCs w:val="18"/>
                <w:color w:val="0000FF"/>
              </w:rPr>
            </w:pPr>
            <w:hyperlink r:id="rId50">
              <w:r>
                <w:rPr>
                  <w:rFonts w:ascii="Arial" w:cs="Arial" w:eastAsia="Arial" w:hAnsi="Arial"/>
                  <w:sz w:val="18"/>
                  <w:szCs w:val="18"/>
                  <w:color w:val="0000FF"/>
                </w:rPr>
                <w:t xml:space="preserve">Digi International Inc. 2021 Omnibus Incentive Plan, as amended and restated </w:t>
              </w:r>
            </w:hyperlink>
            <w:r>
              <w:rPr>
                <w:rFonts w:ascii="Arial" w:cs="Arial" w:eastAsia="Arial" w:hAnsi="Arial"/>
                <w:sz w:val="18"/>
                <w:szCs w:val="18"/>
                <w:color w:val="000000"/>
              </w:rPr>
              <w:t>(6)</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c>
          <w:tcPr>
            <w:tcW w:w="0" w:type="dxa"/>
            <w:vAlign w:val="bottom"/>
          </w:tcPr>
          <w:p>
            <w:pPr>
              <w:spacing w:after="0"/>
              <w:rPr>
                <w:sz w:val="1"/>
                <w:szCs w:val="1"/>
                <w:color w:val="auto"/>
              </w:rPr>
            </w:pPr>
          </w:p>
        </w:tc>
      </w:tr>
      <w:tr>
        <w:trPr>
          <w:trHeight w:val="404"/>
        </w:trPr>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(a)</w:t>
            </w:r>
          </w:p>
        </w:tc>
        <w:tc>
          <w:tcPr>
            <w:tcW w:w="47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Rule 13a-14(a)/15d-14(a) Certification of Chief Executive Officer</w:t>
              </w:r>
            </w:hyperlink>
          </w:p>
        </w:tc>
        <w:tc>
          <w:tcPr>
            <w:tcW w:w="3080" w:type="dxa"/>
            <w:vAlign w:val="bottom"/>
            <w:gridSpan w:val="11"/>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(b)</w:t>
            </w:r>
          </w:p>
        </w:tc>
        <w:tc>
          <w:tcPr>
            <w:tcW w:w="784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Rule 13a-14(a)/15d-14(a) Certification of Chief Financial Officer</w:t>
              </w:r>
            </w:hyperlink>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Section 1350 Certification</w:t>
              </w:r>
            </w:hyperlink>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1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425"/>
        </w:trPr>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17"/>
          </w:tcPr>
          <w:p>
            <w:pPr>
              <w:spacing w:after="0"/>
              <w:rPr>
                <w:sz w:val="20"/>
                <w:szCs w:val="20"/>
                <w:color w:val="auto"/>
              </w:rPr>
            </w:pPr>
            <w:r>
              <w:rPr>
                <w:rFonts w:ascii="Arial" w:cs="Arial" w:eastAsia="Arial" w:hAnsi="Arial"/>
                <w:sz w:val="18"/>
                <w:szCs w:val="18"/>
                <w:color w:val="auto"/>
                <w:w w:val="94"/>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40" w:type="dxa"/>
            <w:vAlign w:val="bottom"/>
            <w:gridSpan w:val="17"/>
          </w:tcPr>
          <w:p>
            <w:pPr>
              <w:spacing w:after="0" w:line="176" w:lineRule="exact"/>
              <w:rPr>
                <w:sz w:val="20"/>
                <w:szCs w:val="20"/>
                <w:color w:val="auto"/>
              </w:rPr>
            </w:pPr>
            <w:r>
              <w:rPr>
                <w:rFonts w:ascii="Arial" w:cs="Arial" w:eastAsia="Arial" w:hAnsi="Arial"/>
                <w:sz w:val="18"/>
                <w:szCs w:val="18"/>
                <w:color w:val="auto"/>
                <w:w w:val="97"/>
              </w:rPr>
              <w:t>ended December 31, 2021, as filed with the Security and Exchange Commission, formatted in iXBRL</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40" w:type="dxa"/>
            <w:vAlign w:val="bottom"/>
            <w:gridSpan w:val="17"/>
          </w:tcPr>
          <w:p>
            <w:pPr>
              <w:spacing w:after="0" w:line="176" w:lineRule="exact"/>
              <w:rPr>
                <w:sz w:val="20"/>
                <w:szCs w:val="20"/>
                <w:color w:val="auto"/>
              </w:rPr>
            </w:pPr>
            <w:r>
              <w:rPr>
                <w:rFonts w:ascii="Arial" w:cs="Arial" w:eastAsia="Arial" w:hAnsi="Arial"/>
                <w:sz w:val="18"/>
                <w:szCs w:val="18"/>
                <w:color w:val="auto"/>
                <w:w w:val="93"/>
              </w:rPr>
              <w:t>(Inline eXtensible Business Reporting Language): (i) Condensed Consolidated Statements of Operations;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40" w:type="dxa"/>
            <w:vAlign w:val="bottom"/>
            <w:gridSpan w:val="17"/>
          </w:tcPr>
          <w:p>
            <w:pPr>
              <w:spacing w:after="0" w:line="176" w:lineRule="exact"/>
              <w:rPr>
                <w:sz w:val="20"/>
                <w:szCs w:val="20"/>
                <w:color w:val="auto"/>
              </w:rPr>
            </w:pPr>
            <w:r>
              <w:rPr>
                <w:rFonts w:ascii="Arial" w:cs="Arial" w:eastAsia="Arial" w:hAnsi="Arial"/>
                <w:sz w:val="18"/>
                <w:szCs w:val="18"/>
                <w:color w:val="auto"/>
                <w:w w:val="92"/>
              </w:rPr>
              <w:t>(ii) Condensed Consolidated Statements of Comprehensive Income; (iii) Condensed Consolidated Balance</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40" w:type="dxa"/>
            <w:vAlign w:val="bottom"/>
            <w:gridSpan w:val="17"/>
          </w:tcPr>
          <w:p>
            <w:pPr>
              <w:spacing w:after="0" w:line="176" w:lineRule="exact"/>
              <w:rPr>
                <w:sz w:val="20"/>
                <w:szCs w:val="20"/>
                <w:color w:val="auto"/>
              </w:rPr>
            </w:pPr>
            <w:r>
              <w:rPr>
                <w:rFonts w:ascii="Arial" w:cs="Arial" w:eastAsia="Arial" w:hAnsi="Arial"/>
                <w:sz w:val="18"/>
                <w:szCs w:val="18"/>
                <w:color w:val="auto"/>
                <w:w w:val="90"/>
              </w:rPr>
              <w:t>Sheets; (iv) Condensed Consolidated Statements of Cash Flows; (v) Condensed Consolidated Statements of</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40" w:type="dxa"/>
            <w:vAlign w:val="bottom"/>
            <w:gridSpan w:val="17"/>
          </w:tcPr>
          <w:p>
            <w:pPr>
              <w:spacing w:after="0"/>
              <w:rPr>
                <w:sz w:val="20"/>
                <w:szCs w:val="20"/>
                <w:color w:val="auto"/>
              </w:rPr>
            </w:pPr>
            <w:r>
              <w:rPr>
                <w:rFonts w:ascii="Arial" w:cs="Arial" w:eastAsia="Arial" w:hAnsi="Arial"/>
                <w:sz w:val="18"/>
                <w:szCs w:val="18"/>
                <w:color w:val="auto"/>
              </w:rPr>
              <w:t>Stockholders' Equity; and (vi) the Notes to the Condensed Consolidated Financial Statements.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17"/>
          </w:tcPr>
          <w:p>
            <w:pPr>
              <w:spacing w:after="0"/>
              <w:rPr>
                <w:sz w:val="20"/>
                <w:szCs w:val="20"/>
                <w:color w:val="auto"/>
              </w:rPr>
            </w:pPr>
            <w:r>
              <w:rPr>
                <w:rFonts w:ascii="Arial" w:cs="Arial" w:eastAsia="Arial" w:hAnsi="Arial"/>
                <w:sz w:val="18"/>
                <w:szCs w:val="18"/>
                <w:color w:val="auto"/>
              </w:rPr>
              <w:t>The cover page from Digi International Inc.'s Quarterly Report on Form 10-Q for the period ended</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40" w:type="dxa"/>
            <w:vAlign w:val="bottom"/>
            <w:gridSpan w:val="17"/>
          </w:tcPr>
          <w:p>
            <w:pPr>
              <w:spacing w:after="0"/>
              <w:rPr>
                <w:sz w:val="20"/>
                <w:szCs w:val="20"/>
                <w:color w:val="auto"/>
              </w:rPr>
            </w:pPr>
            <w:r>
              <w:rPr>
                <w:rFonts w:ascii="Arial" w:cs="Arial" w:eastAsia="Arial" w:hAnsi="Arial"/>
                <w:sz w:val="18"/>
                <w:szCs w:val="18"/>
                <w:color w:val="auto"/>
              </w:rPr>
              <w:t>December 30, 2021 is formatted in iXBRL (included in Exhibit 101).</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right="380" w:firstLine="8"/>
        <w:spacing w:after="0" w:line="262" w:lineRule="auto"/>
        <w:tabs>
          <w:tab w:leader="none" w:pos="1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4" w:lineRule="exact"/>
        <w:rPr>
          <w:rFonts w:ascii="Arial" w:cs="Arial" w:eastAsia="Arial" w:hAnsi="Arial"/>
          <w:sz w:val="16"/>
          <w:szCs w:val="16"/>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3(a) to the Company's Annual Report on Form 10-K for the year ended September 30, 1993.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on April 30, 2020.</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2.1 to the Company's Current Report on Form 8-K filed on November 2,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on November 2,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on December 23,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on February 2, 2022.</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DIGI INTERNATIONAL INC.</w:t>
      </w:r>
    </w:p>
    <w:p>
      <w:pPr>
        <w:spacing w:after="0" w:line="198"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James J. Loch</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Chief Financial Officer and Treasurer</w:t>
      </w:r>
    </w:p>
    <w:p>
      <w:pPr>
        <w:ind w:left="5460"/>
        <w:spacing w:after="0"/>
        <w:rPr>
          <w:sz w:val="20"/>
          <w:szCs w:val="20"/>
          <w:color w:val="auto"/>
        </w:rPr>
      </w:pPr>
      <w:r>
        <w:rPr>
          <w:rFonts w:ascii="Arial" w:cs="Arial" w:eastAsia="Arial" w:hAnsi="Arial"/>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00"/>
          </w:cols>
          <w:pgMar w:left="320" w:top="125" w:right="11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February 4, 2022</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Ronald E. Konezny</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Ronald E. Konezny</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February 4, 2022</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J. Loch</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James J. Loch</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Quarterly Report of Digi International Inc. (the Registrant) on Form 10-Q for the fiscal quarter ended December 31, 2021 as filed with the Securities and Exchange Commission on the date hereof, each of the undersigned certifies, pursuant to 18 U.S.C. §1350, as adopted pursuant to §906 of the Sarbanes-Oxley Act of 2002, that:</w:t>
      </w:r>
    </w:p>
    <w:p>
      <w:pPr>
        <w:spacing w:after="0" w:line="21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60" w:firstLine="8"/>
        <w:spacing w:after="0" w:line="277" w:lineRule="auto"/>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2022</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Ronald E. Konezny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J. Loch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6"/>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lvl w:ilvl="1">
      <w:lvlJc w:val="left"/>
      <w:lvlText w:val="(%2)"/>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18" Type="http://schemas.openxmlformats.org/officeDocument/2006/relationships/hyperlink" Target="http://www.sec.gov/ix?doc=/Archives/edgar/data/854775/000085477521000018/dgii-20210930.htm" TargetMode="External"/><Relationship Id="rId46" Type="http://schemas.openxmlformats.org/officeDocument/2006/relationships/hyperlink" Target="http://www.sec.gov/Archives/edgar/data/854775/000110465920054438/tm2018116d1_ex3-1.htm" TargetMode="External"/><Relationship Id="rId47" Type="http://schemas.openxmlformats.org/officeDocument/2006/relationships/hyperlink" Target="http://www.sec.gov/Archives/edgar/data/854775/000110465921132717/tm2131473d1_ex2-1.htm" TargetMode="External"/><Relationship Id="rId48" Type="http://schemas.openxmlformats.org/officeDocument/2006/relationships/hyperlink" Target="http://www.sec.gov/Archives/edgar/data/0000854775/000110465921132717/tm2131473d1_ex10-1.htm" TargetMode="External"/><Relationship Id="rId49" Type="http://schemas.openxmlformats.org/officeDocument/2006/relationships/hyperlink" Target="http://www.sec.gov/Archives/edgar/data/854775/000110465921132717/tm2131473d1_ex10-1.htm" TargetMode="External"/><Relationship Id="rId50" Type="http://schemas.openxmlformats.org/officeDocument/2006/relationships/hyperlink" Target="http://www.sec.gov/Archives/edgar/data/0000854775/000110465922010912/tm2251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2022-02-04T13:09:39Z</dcterms:created>
  <dcterms:modified xsi:type="dcterms:W3CDTF">2022-02-04T13:09:39Z</dcterms:modified>
</cp:coreProperties>
</file>