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85"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 (d)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72390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DIGI INTERNATIONAL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37"/>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27"/>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0"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42"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6" w:lineRule="exact"/>
        <w:rPr>
          <w:sz w:val="24"/>
          <w:szCs w:val="24"/>
          <w:color w:val="auto"/>
        </w:rPr>
      </w:pPr>
    </w:p>
    <w:p>
      <w:pPr>
        <w:ind w:right="286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April 30, 2025, there were 37,066,698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98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439"/>
        </w:trPr>
        <w:tc>
          <w:tcPr>
            <w:tcW w:w="120" w:type="dxa"/>
            <w:vAlign w:val="bottom"/>
          </w:tcPr>
          <w:p>
            <w:pPr>
              <w:spacing w:after="0"/>
              <w:rPr>
                <w:sz w:val="24"/>
                <w:szCs w:val="24"/>
                <w:color w:val="auto"/>
              </w:rPr>
            </w:pPr>
          </w:p>
        </w:tc>
        <w:tc>
          <w:tcPr>
            <w:tcW w:w="45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160" w:type="dxa"/>
            <w:vAlign w:val="bottom"/>
            <w:gridSpan w:val="3"/>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11"/>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20" w:type="dxa"/>
            <w:vAlign w:val="bottom"/>
            <w:gridSpan w:val="8"/>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46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r>
      <w:tr>
        <w:trPr>
          <w:trHeight w:val="209"/>
        </w:trPr>
        <w:tc>
          <w:tcPr>
            <w:tcW w:w="4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71,987</w:t>
            </w:r>
          </w:p>
        </w:tc>
        <w:tc>
          <w:tcPr>
            <w:tcW w:w="12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144,772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155,682</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32,516</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58,109</w:t>
            </w:r>
          </w:p>
        </w:tc>
      </w:tr>
      <w:tr>
        <w:trPr>
          <w:trHeight w:val="207"/>
        </w:trPr>
        <w:tc>
          <w:tcPr>
            <w:tcW w:w="4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104,503</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213,791</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75,660</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12,807</w:t>
            </w:r>
          </w:p>
        </w:tc>
      </w:tr>
      <w:tr>
        <w:trPr>
          <w:trHeight w:val="21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r>
      <w:tr>
        <w:trPr>
          <w:trHeight w:val="212"/>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sales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39,570</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90,373</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64,933</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123,418</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40,187</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29,677</w:t>
            </w:r>
          </w:p>
        </w:tc>
      </w:tr>
      <w:tr>
        <w:trPr>
          <w:trHeight w:val="21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33,270</w:t>
            </w:r>
          </w:p>
        </w:tc>
      </w:tr>
      <w:tr>
        <w:trPr>
          <w:trHeight w:val="212"/>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51,206</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103,134</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13,727</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20,284</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(9,358)</w:t>
            </w: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 write-off</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w:t>
            </w:r>
          </w:p>
        </w:tc>
      </w:tr>
      <w:tr>
        <w:trPr>
          <w:trHeight w:val="213"/>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expense, net</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(19,138)</w:t>
            </w:r>
          </w:p>
        </w:tc>
      </w:tr>
      <w:tr>
        <w:trPr>
          <w:trHeight w:val="20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12,348</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2"/>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10,497</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5"/>
        </w:trPr>
        <w:tc>
          <w:tcPr>
            <w:tcW w:w="46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4"/>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6"/>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36,956</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36,816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36,212</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46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210"/>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color w:val="auto"/>
              </w:rPr>
              <w:t>(in thousands)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20,580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r>
      <w:tr>
        <w:trPr>
          <w:trHeight w:val="207"/>
        </w:trPr>
        <w:tc>
          <w:tcPr>
            <w:tcW w:w="4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w:t>
            </w: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19,415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March 31, 2025</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September 30, 2024</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27,510</w:t>
            </w:r>
          </w:p>
        </w:tc>
        <w:tc>
          <w:tcPr>
            <w:tcW w:w="0" w:type="dxa"/>
            <w:vAlign w:val="bottom"/>
          </w:tcPr>
          <w:p>
            <w:pPr>
              <w:spacing w:after="0"/>
              <w:rPr>
                <w:sz w:val="1"/>
                <w:szCs w:val="1"/>
                <w:color w:val="auto"/>
              </w:rPr>
            </w:pP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69,640</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53,357</w:t>
            </w:r>
          </w:p>
        </w:tc>
        <w:tc>
          <w:tcPr>
            <w:tcW w:w="0" w:type="dxa"/>
            <w:vAlign w:val="bottom"/>
          </w:tcPr>
          <w:p>
            <w:pPr>
              <w:spacing w:after="0"/>
              <w:rPr>
                <w:sz w:val="1"/>
                <w:szCs w:val="1"/>
                <w:color w:val="auto"/>
              </w:rPr>
            </w:pP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0" w:type="dxa"/>
            <w:vAlign w:val="bottom"/>
          </w:tcPr>
          <w:p>
            <w:pPr>
              <w:spacing w:after="0"/>
              <w:rPr>
                <w:sz w:val="1"/>
                <w:szCs w:val="1"/>
                <w:color w:val="auto"/>
              </w:rPr>
            </w:pPr>
          </w:p>
        </w:tc>
      </w:tr>
      <w:tr>
        <w:trPr>
          <w:trHeight w:val="207"/>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154,447</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equipment and improvements, net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34,915</w:t>
            </w:r>
          </w:p>
        </w:tc>
        <w:tc>
          <w:tcPr>
            <w:tcW w:w="0" w:type="dxa"/>
            <w:vAlign w:val="bottom"/>
          </w:tcPr>
          <w:p>
            <w:pPr>
              <w:spacing w:after="0"/>
              <w:rPr>
                <w:sz w:val="1"/>
                <w:szCs w:val="1"/>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252,909</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342,774</w:t>
            </w:r>
          </w:p>
        </w:tc>
        <w:tc>
          <w:tcPr>
            <w:tcW w:w="0" w:type="dxa"/>
            <w:vAlign w:val="bottom"/>
          </w:tcPr>
          <w:p>
            <w:pPr>
              <w:spacing w:after="0"/>
              <w:rPr>
                <w:sz w:val="1"/>
                <w:szCs w:val="1"/>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16,141</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815,075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4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23,759</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13,995</w:t>
            </w:r>
          </w:p>
        </w:tc>
        <w:tc>
          <w:tcPr>
            <w:tcW w:w="0" w:type="dxa"/>
            <w:vAlign w:val="bottom"/>
          </w:tcPr>
          <w:p>
            <w:pPr>
              <w:spacing w:after="0"/>
              <w:rPr>
                <w:sz w:val="1"/>
                <w:szCs w:val="1"/>
                <w:color w:val="auto"/>
              </w:rPr>
            </w:pP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30,556</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0" w:type="dxa"/>
            <w:vAlign w:val="bottom"/>
          </w:tcPr>
          <w:p>
            <w:pPr>
              <w:spacing w:after="0"/>
              <w:rPr>
                <w:sz w:val="1"/>
                <w:szCs w:val="1"/>
                <w:color w:val="auto"/>
              </w:rPr>
            </w:pP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15,505</w:t>
            </w:r>
          </w:p>
        </w:tc>
        <w:tc>
          <w:tcPr>
            <w:tcW w:w="0" w:type="dxa"/>
            <w:vAlign w:val="bottom"/>
          </w:tcPr>
          <w:p>
            <w:pPr>
              <w:spacing w:after="0"/>
              <w:rPr>
                <w:sz w:val="1"/>
                <w:szCs w:val="1"/>
                <w:color w:val="auto"/>
              </w:rPr>
            </w:pPr>
          </w:p>
        </w:tc>
      </w:tr>
      <w:tr>
        <w:trPr>
          <w:trHeight w:val="207"/>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89,337</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0" w:type="dxa"/>
            <w:vAlign w:val="bottom"/>
          </w:tcPr>
          <w:p>
            <w:pPr>
              <w:spacing w:after="0"/>
              <w:rPr>
                <w:sz w:val="1"/>
                <w:szCs w:val="1"/>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123,185</w:t>
            </w:r>
          </w:p>
        </w:tc>
        <w:tc>
          <w:tcPr>
            <w:tcW w:w="0" w:type="dxa"/>
            <w:vAlign w:val="bottom"/>
          </w:tcPr>
          <w:p>
            <w:pPr>
              <w:spacing w:after="0"/>
              <w:rPr>
                <w:sz w:val="1"/>
                <w:szCs w:val="1"/>
                <w:color w:val="auto"/>
              </w:rPr>
            </w:pPr>
          </w:p>
        </w:tc>
      </w:tr>
      <w:tr>
        <w:trPr>
          <w:trHeight w:val="213"/>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11,228</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0" w:type="dxa"/>
            <w:vAlign w:val="bottom"/>
          </w:tcPr>
          <w:p>
            <w:pPr>
              <w:spacing w:after="0"/>
              <w:rPr>
                <w:sz w:val="1"/>
                <w:szCs w:val="1"/>
                <w:color w:val="auto"/>
              </w:rPr>
            </w:pPr>
          </w:p>
        </w:tc>
      </w:tr>
      <w:tr>
        <w:trPr>
          <w:trHeight w:val="207"/>
        </w:trPr>
        <w:tc>
          <w:tcPr>
            <w:tcW w:w="7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234,040</w:t>
            </w:r>
          </w:p>
        </w:tc>
        <w:tc>
          <w:tcPr>
            <w:tcW w:w="0" w:type="dxa"/>
            <w:vAlign w:val="bottom"/>
          </w:tcPr>
          <w:p>
            <w:pPr>
              <w:spacing w:after="0"/>
              <w:rPr>
                <w:sz w:val="1"/>
                <w:szCs w:val="1"/>
                <w:color w:val="auto"/>
              </w:rPr>
            </w:pPr>
          </w:p>
        </w:tc>
      </w:tr>
      <w:tr>
        <w:trPr>
          <w:trHeight w:val="199"/>
        </w:trPr>
        <w:tc>
          <w:tcPr>
            <w:tcW w:w="7440" w:type="dxa"/>
            <w:vAlign w:val="bottom"/>
            <w:gridSpan w:val="3"/>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500" w:type="dxa"/>
            <w:vAlign w:val="bottom"/>
            <w:tcBorders>
              <w:top w:val="single" w:sz="8" w:color="0000FF"/>
            </w:tcBorders>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$.01 par value; 2,000,000 shares authorized; none issued and outstanding</w:t>
            </w: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Common stock, $.01 par value; 60,000,000 shares authorized; 43,561,862 and 42,996,725 shares issued</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420,413</w:t>
            </w:r>
          </w:p>
        </w:tc>
        <w:tc>
          <w:tcPr>
            <w:tcW w:w="0" w:type="dxa"/>
            <w:vAlign w:val="bottom"/>
          </w:tcPr>
          <w:p>
            <w:pPr>
              <w:spacing w:after="0"/>
              <w:rPr>
                <w:sz w:val="1"/>
                <w:szCs w:val="1"/>
                <w:color w:val="auto"/>
              </w:rPr>
            </w:pPr>
          </w:p>
        </w:tc>
      </w:tr>
      <w:tr>
        <w:trPr>
          <w:trHeight w:val="213"/>
        </w:trPr>
        <w:tc>
          <w:tcPr>
            <w:tcW w:w="7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247,350</w:t>
            </w:r>
          </w:p>
        </w:tc>
        <w:tc>
          <w:tcPr>
            <w:tcW w:w="0" w:type="dxa"/>
            <w:vAlign w:val="bottom"/>
          </w:tcPr>
          <w:p>
            <w:pPr>
              <w:spacing w:after="0"/>
              <w:rPr>
                <w:sz w:val="1"/>
                <w:szCs w:val="1"/>
                <w:color w:val="auto"/>
              </w:rPr>
            </w:pPr>
          </w:p>
        </w:tc>
      </w:tr>
      <w:tr>
        <w:trPr>
          <w:trHeight w:val="219"/>
        </w:trPr>
        <w:tc>
          <w:tcPr>
            <w:tcW w:w="7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(23,744)</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Treasury stock, at cost, 6,505,612 and 6,449,364 shares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(63,414)</w:t>
            </w:r>
          </w:p>
        </w:tc>
        <w:tc>
          <w:tcPr>
            <w:tcW w:w="0" w:type="dxa"/>
            <w:vAlign w:val="bottom"/>
          </w:tcPr>
          <w:p>
            <w:pPr>
              <w:spacing w:after="0"/>
              <w:rPr>
                <w:sz w:val="1"/>
                <w:szCs w:val="1"/>
                <w:color w:val="auto"/>
              </w:rPr>
            </w:pPr>
          </w:p>
        </w:tc>
      </w:tr>
      <w:tr>
        <w:trPr>
          <w:trHeight w:val="210"/>
        </w:trPr>
        <w:tc>
          <w:tcPr>
            <w:tcW w:w="74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581,035</w:t>
            </w:r>
          </w:p>
        </w:tc>
        <w:tc>
          <w:tcPr>
            <w:tcW w:w="0" w:type="dxa"/>
            <w:vAlign w:val="bottom"/>
          </w:tcPr>
          <w:p>
            <w:pPr>
              <w:spacing w:after="0"/>
              <w:rPr>
                <w:sz w:val="1"/>
                <w:szCs w:val="1"/>
                <w:color w:val="auto"/>
              </w:rPr>
            </w:pPr>
          </w:p>
        </w:tc>
      </w:tr>
      <w:tr>
        <w:trPr>
          <w:trHeight w:val="212"/>
        </w:trPr>
        <w:tc>
          <w:tcPr>
            <w:tcW w:w="74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781,024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815,075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559"/>
              <w:spacing w:after="0"/>
              <w:rPr>
                <w:sz w:val="20"/>
                <w:szCs w:val="20"/>
                <w:color w:val="auto"/>
              </w:rPr>
            </w:pPr>
            <w:r>
              <w:rPr>
                <w:rFonts w:ascii="Times New Roman" w:cs="Times New Roman" w:eastAsia="Times New Roman" w:hAnsi="Times New Roman"/>
                <w:sz w:val="16"/>
                <w:szCs w:val="16"/>
                <w:color w:val="auto"/>
              </w:rPr>
              <w:t>Six months ended March 31,</w:t>
            </w:r>
          </w:p>
        </w:tc>
      </w:tr>
      <w:tr>
        <w:trPr>
          <w:trHeight w:val="210"/>
        </w:trPr>
        <w:tc>
          <w:tcPr>
            <w:tcW w:w="80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2024</w:t>
            </w:r>
          </w:p>
        </w:tc>
      </w:tr>
      <w:tr>
        <w:trPr>
          <w:trHeight w:val="210"/>
        </w:trPr>
        <w:tc>
          <w:tcPr>
            <w:tcW w:w="8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(in thousands)</w:t>
            </w:r>
          </w:p>
        </w:tc>
        <w:tc>
          <w:tcPr>
            <w:tcW w:w="1020" w:type="dxa"/>
            <w:vAlign w:val="bottom"/>
          </w:tcPr>
          <w:p>
            <w:pPr>
              <w:spacing w:after="0"/>
              <w:rPr>
                <w:sz w:val="18"/>
                <w:szCs w:val="18"/>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property, equipment and improvements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12,754</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Write-off of debt issuance costs</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9,722</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Litigation accrual</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r>
      <w:tr>
        <w:trPr>
          <w:trHeight w:val="213"/>
        </w:trPr>
        <w:tc>
          <w:tcPr>
            <w:tcW w:w="8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r>
      <w:tr>
        <w:trPr>
          <w:trHeight w:val="21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r>
      <w:tr>
        <w:trPr>
          <w:trHeight w:val="207"/>
        </w:trPr>
        <w:tc>
          <w:tcPr>
            <w:tcW w:w="8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56,005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31,727</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equipment, improvements and certain other intangible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equipment, improvements and certain other intangible assets</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w:t>
            </w:r>
          </w:p>
        </w:tc>
      </w:tr>
      <w:tr>
        <w:trPr>
          <w:trHeight w:val="207"/>
        </w:trPr>
        <w:tc>
          <w:tcPr>
            <w:tcW w:w="8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214,062</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(53,300)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(256,025)</w:t>
            </w:r>
          </w:p>
        </w:tc>
      </w:tr>
      <w:tr>
        <w:trPr>
          <w:trHeight w:val="213"/>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 option plan transactions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purchase plan transactions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13"/>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paid for net share settlement of share-based payment options and awards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r>
      <w:tr>
        <w:trPr>
          <w:trHeight w:val="212"/>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(56,037)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(42,692)</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31,693</w:t>
            </w: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19"/>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paid,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 of inventory to property, equipment and improvements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w:t>
            </w:r>
          </w:p>
        </w:tc>
      </w:tr>
      <w:tr>
        <w:trPr>
          <w:trHeight w:val="210"/>
        </w:trPr>
        <w:tc>
          <w:tcPr>
            <w:tcW w:w="8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Accrual for purchase of property, equipment, improvements and certain other intangible assets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Paid-In</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Par Value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542,075</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411,759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225,785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(24,663)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549,627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on September 30,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540,488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549,627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590,675</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options and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2025</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43,562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(66,280)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428,041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267,930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605,218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September 30,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247,350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581,035</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20,580</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605,218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36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UNAUDITED INTERIM CONDENSED CONSOLIDATED FINANCIAL STATEMENTS AND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spacing w:after="0" w:line="25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unaudited condensed consolidated financial statements of Digi International Inc. ("we," "us," "our," "Digi" or "the Company") have been prepared in accordance with the rules and regulations of the U.S.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year ended September 30, 2024. We use the same accounting policies in preparing quarterly and annual financial statements.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quarterly results of operations are not necessarily indicative of the results to be expected for the full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8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 November 2024, FASB issued ASU 2024-03, Income Statement - Reporting Comprehensive Income - Expense Disaggregation Disclosures (Subtopic 220-40), “Disaggregation of Income Statement Expenses,” which improves disclosures about a company’s expenses and provides more detailed information about the types of expenses in commonly presented expense captions. This amendment is effective for our fiscal year ending September 30, 2028 and interim periods within our fiscal year ending September 30, 2029. We are currently assessing the impact of this guidance on our disclosures.</w:t>
      </w:r>
    </w:p>
    <w:p>
      <w:pPr>
        <w:spacing w:after="0" w:line="12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December 2023, FASB issued ASU 2023-09, Income Taxes (Topic 740), “Improvements to Income Tax Disclosures,” which enhances the transparency and decision usefulness of income tax disclosures. This amendment is effective for our fiscal year ending September 30, 2028 and interim periods within our fiscal year ending September 30, 2029. We are currently assessing the impact of this guidance on our disclosures.</w:t>
      </w:r>
    </w:p>
    <w:p>
      <w:pPr>
        <w:spacing w:after="0" w:line="14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November 2023, FASB issued ASU 2023-07, Segment Reporting (Topic 280): Improvements to Reportable Segment Disclosures. This amendment is effective for our fiscal year ending September 30, 2025 and interim periods within our fiscal year ending September 30, 2026. We are currently assessing the impact of this guidance on our disclosures.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EARNINGS PER SHARE</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3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40" w:type="dxa"/>
            <w:vAlign w:val="bottom"/>
          </w:tcPr>
          <w:p>
            <w:pPr>
              <w:spacing w:after="0"/>
              <w:rPr>
                <w:sz w:val="20"/>
                <w:szCs w:val="20"/>
                <w:color w:val="auto"/>
              </w:rPr>
            </w:pPr>
          </w:p>
        </w:tc>
        <w:tc>
          <w:tcPr>
            <w:tcW w:w="29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6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4"/>
        </w:trPr>
        <w:tc>
          <w:tcPr>
            <w:tcW w:w="46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Denominator for basic net income per common share —</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36,212</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164"/>
        </w:trPr>
        <w:tc>
          <w:tcPr>
            <w:tcW w:w="462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Denominator for diluted net income per common share —</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weighted average shares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r>
      <w:tr>
        <w:trPr>
          <w:trHeight w:val="270"/>
        </w:trPr>
        <w:tc>
          <w:tcPr>
            <w:tcW w:w="4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5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excludes certain stock options and restricted stock unit awards that would have an anti-dilutive effect on our diluted net income per share calculation.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348,553 and 583,062 shares outstanding were excluded, respectively.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271,328 and 676,456 shares outstanding were excluded,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3. SELECTED BALANCE SHEET DATA</w:t>
            </w: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9"/>
        </w:trPr>
        <w:tc>
          <w:tcPr>
            <w:tcW w:w="530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2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5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50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3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740" w:firstLine="8"/>
        <w:spacing w:after="0" w:line="430"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September 30, 2024</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5"/>
                <w:szCs w:val="15"/>
                <w:color w:val="auto"/>
              </w:rPr>
            </w:pPr>
          </w:p>
        </w:tc>
        <w:tc>
          <w:tcPr>
            <w:tcW w:w="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436,311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252,909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$5.2 million and $6.1 million for the three months ended March 31,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$11.0 million and $12.3 million for the six months ended March 31, 2025 and 2024,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is recorded on our condensed consolidated statements of operations within cost of sales and in general and administrative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related to intangible assets for the remainder of fiscal 2025 and the five succeeding fiscal years is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(six months)</w:t>
            </w:r>
          </w:p>
        </w:tc>
        <w:tc>
          <w:tcPr>
            <w:tcW w:w="4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20,709</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20,709</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20,447</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7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March 31, 2025</w:t>
            </w:r>
          </w:p>
        </w:tc>
        <w:tc>
          <w:tcPr>
            <w:tcW w:w="1280" w:type="dxa"/>
            <w:vAlign w:val="bottom"/>
            <w:tcBorders>
              <w:bottom w:val="single" w:sz="8" w:color="auto"/>
            </w:tcBorders>
          </w:tcPr>
          <w:p>
            <w:pPr>
              <w:spacing w:after="0"/>
              <w:rPr>
                <w:sz w:val="20"/>
                <w:szCs w:val="20"/>
                <w:color w:val="auto"/>
              </w:rPr>
            </w:pPr>
          </w:p>
        </w:tc>
      </w:tr>
      <w:tr>
        <w:trPr>
          <w:trHeight w:val="178"/>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2"/>
          </w:tcPr>
          <w:p>
            <w:pPr>
              <w:jc w:val="center"/>
              <w:ind w:right="34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4"/>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Products &amp; Services</w:t>
            </w:r>
          </w:p>
        </w:tc>
        <w:tc>
          <w:tcPr>
            <w:tcW w:w="3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2024</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342,774</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March 31,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341,669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Goodwill represents the excess of cost over the fair value of net identifiable assets acquired. Goodwill is quantitatively tested for impairment on an annual basis as of June 30, or more frequently if events or circumstances occur which could indicate impairment. We have two reportable segments, IoT Products</w:t>
      </w:r>
    </w:p>
    <w:p>
      <w:pPr>
        <w:spacing w:after="0" w:line="1" w:lineRule="exact"/>
        <w:rPr>
          <w:sz w:val="20"/>
          <w:szCs w:val="20"/>
          <w:color w:val="auto"/>
        </w:rPr>
      </w:pPr>
    </w:p>
    <w:p>
      <w:pPr>
        <w:ind w:right="20" w:firstLine="8"/>
        <w:spacing w:after="0" w:line="253"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Services and IoT Solutions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Our IoT Products &amp; Services segment is structured to include four reporting units for goodwill testing purposes: Cellular Routers, Console Servers, OEM Solutions and Infrastructure Management. Following our acquisition of Ventus in November 2021, we have two reporting units within IoT Solutions: SmartSense and Ventus. Each of these reporting units was tested individually for impairment during our annual impairment test completed as of the end of the third fiscal quarter of fiscal 2024.</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affect the estimated fair values negatively. 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INDEBTEDNESS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December 7, 2023, Digi entered into a credit agreement (the “Credit Agreement”) with BMO Bank N.A. (“BMO”), as administrative and collateral agent, BMO Capital Markets Corp., BofA Securities, Inc. and MUFG Bank, Ltd., as joint lead arrangers and joint bookrunners, and the several banks and other financial institutions or entities from time to time party thereto as lenders (the “Lenders”). The Credit Agreement provides Digi with a senior secured credit facility (the “Credit Facility”). The Credit Facility includes a $250 million senior secured revolving credit facility (the “Revolving Loan”), with an uncommitted accordion feature that provides for additional borrowing capacity of up to the greater of $95 million or one hundred percent of trailing twelve month adjusted earnings before interest, taxes, depreciation, and amortization ("EBITDA"). The Credit Facility also contains a $10 million letter of credit sublimit and $10 million swingline sub-facility. Digi may use the proceeds of the Credit Facility in the future for general corporate purposes.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Digi borrowed a total of $215 million under the Credit Facility to repay all obligations and to pay related fees and expenses under the Third Amended and Restated Credit Agreement dated as of December 22, 2021 (the “Prior Credit Facility”), by and among Digi, as the borrower, BMO, as administrative agent and collateral agent, BMO Capital Markets Corp., as sole lead arranger and bookrunner, and the other lenders from time-to-time party thereto. The Prior Credit Facility consisted of a $350 million term loan B secured loan and a $35 million revolving credit facility that included a $10 million letter of credit subfacility and $10 million swingline subfacility.</w:t>
      </w:r>
    </w:p>
    <w:p>
      <w:pPr>
        <w:spacing w:after="0" w:line="1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1.75% to 2.75% for Term SOFR loans and 0.75% to 1.75% for base rate loans, depending on Digi’s total net leverage ratio. All borrowings in the period were made at Term SOFR for a one-month interest election period plus an applicable margin of 2.25% through February 13, 2025 and at Term SOFR for a one-month interest election period plus an applicable margin of 1.75% following that date. Our weighted average interest rate for our Credit Facility was 6.10% as of March 31, 2025.</w:t>
      </w:r>
    </w:p>
    <w:p>
      <w:pPr>
        <w:spacing w:after="0" w:line="15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In addition to paying interest on the outstanding principal, Digi is required to pay a commitment fee on the unutilized commitments under the Credit Facility. The commitment fee is between 0.20% and 0.35% depending on Digi’s total net leverage ratio. Our weighted average Revolving Loan commitment fee was 0.20% as of March 31, 2025. The Credit Facility is secured by substantially all of the property of Digi and its domestic subsidiaries.</w:t>
      </w:r>
    </w:p>
    <w:p>
      <w:pPr>
        <w:spacing w:after="0" w:line="13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debt issuance costs and remaining balance under the Prior Credit Facility totaling $9.7 million at December 7, 2023 were written off and included in other expenses upon the entry into the Credit Agreement. Digi incurred an additional $1.3 million in debt issuance costs upon entry into the Credit Agreement, with this amount amortized over the term of the Credit Agreement and reported in interest expense.</w:t>
      </w:r>
    </w:p>
    <w:p>
      <w:pPr>
        <w:spacing w:after="0" w:line="13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Revolving Loan is due in a lump sum payment at maturity December 7, 2028, if any amounts are drawn. The fair value of the Revolving Loan approximated carrying value at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at March 31, 2025 and September 30, 2024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Balance on September 30,</w:t>
            </w:r>
          </w:p>
        </w:tc>
      </w:tr>
      <w:tr>
        <w:trPr>
          <w:trHeight w:val="243"/>
        </w:trPr>
        <w:tc>
          <w:tcPr>
            <w:tcW w:w="6780" w:type="dxa"/>
            <w:vAlign w:val="bottom"/>
          </w:tcPr>
          <w:p>
            <w:pPr>
              <w:spacing w:after="0"/>
              <w:rPr>
                <w:sz w:val="21"/>
                <w:szCs w:val="21"/>
                <w:color w:val="auto"/>
              </w:rPr>
            </w:pPr>
          </w:p>
        </w:tc>
        <w:tc>
          <w:tcPr>
            <w:tcW w:w="2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Balance on March 31, 2025</w:t>
            </w:r>
          </w:p>
        </w:tc>
        <w:tc>
          <w:tcPr>
            <w:tcW w:w="120" w:type="dxa"/>
            <w:vAlign w:val="bottom"/>
          </w:tcPr>
          <w:p>
            <w:pPr>
              <w:spacing w:after="0"/>
              <w:rPr>
                <w:sz w:val="21"/>
                <w:szCs w:val="21"/>
                <w:color w:val="auto"/>
              </w:rPr>
            </w:pPr>
          </w:p>
        </w:tc>
        <w:tc>
          <w:tcPr>
            <w:tcW w:w="2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124,300</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debt, net of unamortized issuance costs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INDEBTEDNESS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Credit Agreement requires Digi to maintain a minimum interest coverage ratio of 3.00 to 1.00 and a total net leverage ratio not to exceed 3.00 to 1.00, with certain exceptions for a covenant holiday of up to 3.50 to 1.00 after certain material acquisitions. The total net leverage ratio is defined as the ratio of Digi’s consolidated total funded indebtedness minus unrestricted cash as of such date up to a maximum amount not to exceed $50 million, to consolidated EBITDA for such period. The Credit Agreement also contains other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restricted payments, enter into sale and leaseback transactions or grant additional liens on its assets, subject to certain limitations. Amounts borrowed under the Credit Facility are secured by substantially all of our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SEGMENT INFORMATION</w:t>
      </w:r>
    </w:p>
    <w:p>
      <w:pPr>
        <w:spacing w:after="0" w:line="18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have a single segment manager over IoT Products &amp; Services and a single manager over IoT Solutions. As a result we have two operating segments. These two operating segments also serve as our reportable segments: IoT Products &amp; Services and IoT Solutions. Each operating segment is led by a single segment manager. IoT Products &amp; Services derives revenue from the sale of products and services that help original equipment manufacturers ("OEMs"), enterprise and government customers create and deploy, secure IoT connectivity solutions. IoT Solutions derives revenue from the sale of software-based services that are enabled through the use of connected devices that utilize cellular communications.</w:t>
      </w:r>
    </w:p>
    <w:p>
      <w:pPr>
        <w:spacing w:after="0" w:line="117"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Our CEO is our Chief Operating Decision Maker ("CODM"). The measures the CODM uses to measure profitability within each of our reportable segments is segment gross profit.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operating results for each of our segments were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24,312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52,763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48,378</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gridSpan w:val="2"/>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104,503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107,702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208,369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213,791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5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37,876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depreciation and amortization expense was (in thousands):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3,107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4,958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8,065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(in thousands):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540" w:firstLine="8"/>
        <w:spacing w:after="0" w:line="302" w:lineRule="auto"/>
        <w:tabs>
          <w:tab w:leader="none" w:pos="1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these amounts are $5,131 and $4,046 of transfers of inventory to property plant and equipment for subscriber assets for the six months ended March 31, 2025 and 2023, respectively.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jc w:val="center"/>
              <w:ind w:right="654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96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SEGMENT INFORMATION (CONTINUED)</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4"/>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 for each of our segments were (in thousands):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9"/>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5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227"/>
        </w:trPr>
        <w:tc>
          <w:tcPr>
            <w:tcW w:w="20" w:type="dxa"/>
            <w:vAlign w:val="bottom"/>
          </w:tcPr>
          <w:p>
            <w:pPr>
              <w:spacing w:after="0"/>
              <w:rPr>
                <w:sz w:val="19"/>
                <w:szCs w:val="19"/>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376,998</w:t>
            </w:r>
          </w:p>
        </w:tc>
      </w:tr>
      <w:tr>
        <w:trPr>
          <w:trHeight w:val="230"/>
        </w:trPr>
        <w:tc>
          <w:tcPr>
            <w:tcW w:w="20" w:type="dxa"/>
            <w:vAlign w:val="bottom"/>
          </w:tcPr>
          <w:p>
            <w:pPr>
              <w:spacing w:after="0"/>
              <w:rPr>
                <w:sz w:val="19"/>
                <w:szCs w:val="19"/>
                <w:color w:val="auto"/>
              </w:rPr>
            </w:pPr>
          </w:p>
        </w:tc>
        <w:tc>
          <w:tcPr>
            <w:tcW w:w="7800" w:type="dxa"/>
            <w:vAlign w:val="bottom"/>
            <w:gridSpan w:val="2"/>
          </w:tcPr>
          <w:p>
            <w:pPr>
              <w:jc w:val="center"/>
              <w:ind w:right="6540"/>
              <w:spacing w:after="0"/>
              <w:rPr>
                <w:sz w:val="20"/>
                <w:szCs w:val="20"/>
                <w:color w:val="auto"/>
              </w:rPr>
            </w:pPr>
            <w:r>
              <w:rPr>
                <w:rFonts w:ascii="Times New Roman" w:cs="Times New Roman" w:eastAsia="Times New Roman" w:hAnsi="Times New Roman"/>
                <w:sz w:val="18"/>
                <w:szCs w:val="18"/>
                <w:color w:val="auto"/>
                <w:w w:val="99"/>
              </w:rPr>
              <w:t>IoT Solutions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410,567</w:t>
            </w:r>
          </w:p>
        </w:tc>
      </w:tr>
      <w:tr>
        <w:trPr>
          <w:trHeight w:val="229"/>
        </w:trPr>
        <w:tc>
          <w:tcPr>
            <w:tcW w:w="20" w:type="dxa"/>
            <w:vAlign w:val="bottom"/>
          </w:tcPr>
          <w:p>
            <w:pPr>
              <w:spacing w:after="0"/>
              <w:rPr>
                <w:sz w:val="19"/>
                <w:szCs w:val="19"/>
                <w:color w:val="auto"/>
              </w:rPr>
            </w:pPr>
          </w:p>
        </w:tc>
        <w:tc>
          <w:tcPr>
            <w:tcW w:w="7800" w:type="dxa"/>
            <w:vAlign w:val="bottom"/>
            <w:gridSpan w:val="2"/>
            <w:shd w:val="clear" w:color="auto" w:fill="CCEEFF"/>
          </w:tcPr>
          <w:p>
            <w:pPr>
              <w:jc w:val="center"/>
              <w:ind w:right="6560"/>
              <w:spacing w:after="0"/>
              <w:rPr>
                <w:sz w:val="20"/>
                <w:szCs w:val="20"/>
                <w:color w:val="auto"/>
              </w:rPr>
            </w:pPr>
            <w:r>
              <w:rPr>
                <w:rFonts w:ascii="Times New Roman" w:cs="Times New Roman" w:eastAsia="Times New Roman" w:hAnsi="Times New Roman"/>
                <w:sz w:val="18"/>
                <w:szCs w:val="18"/>
                <w:color w:val="auto"/>
                <w:w w:val="99"/>
              </w:rPr>
              <w:t>Unallocated*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27,510</w:t>
            </w:r>
          </w:p>
        </w:tc>
      </w:tr>
      <w:tr>
        <w:trPr>
          <w:trHeight w:val="223"/>
        </w:trPr>
        <w:tc>
          <w:tcPr>
            <w:tcW w:w="20" w:type="dxa"/>
            <w:vAlign w:val="bottom"/>
          </w:tcPr>
          <w:p>
            <w:pPr>
              <w:spacing w:after="0"/>
              <w:rPr>
                <w:sz w:val="19"/>
                <w:szCs w:val="19"/>
                <w:color w:val="auto"/>
              </w:rPr>
            </w:pPr>
          </w:p>
        </w:tc>
        <w:tc>
          <w:tcPr>
            <w:tcW w:w="7800" w:type="dxa"/>
            <w:vAlign w:val="bottom"/>
            <w:gridSpan w:val="2"/>
          </w:tcPr>
          <w:p>
            <w:pPr>
              <w:jc w:val="center"/>
              <w:ind w:right="6520"/>
              <w:spacing w:after="0"/>
              <w:rPr>
                <w:sz w:val="20"/>
                <w:szCs w:val="20"/>
                <w:color w:val="auto"/>
              </w:rPr>
            </w:pPr>
            <w:r>
              <w:rPr>
                <w:rFonts w:ascii="Times New Roman" w:cs="Times New Roman" w:eastAsia="Times New Roman" w:hAnsi="Times New Roman"/>
                <w:sz w:val="18"/>
                <w:szCs w:val="18"/>
                <w:color w:val="auto"/>
                <w:w w:val="99"/>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815,075</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40" w:type="dxa"/>
            <w:vAlign w:val="bottom"/>
          </w:tcPr>
          <w:p>
            <w:pPr>
              <w:spacing w:after="0"/>
              <w:rPr>
                <w:sz w:val="20"/>
                <w:szCs w:val="20"/>
                <w:color w:val="auto"/>
              </w:rPr>
            </w:pPr>
          </w:p>
        </w:tc>
        <w:tc>
          <w:tcPr>
            <w:tcW w:w="29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4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152,093</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33,875</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104,503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213,791</w:t>
            </w:r>
          </w:p>
        </w:tc>
      </w:tr>
      <w:tr>
        <w:trPr>
          <w:trHeight w:val="21"/>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40" w:type="dxa"/>
            <w:vAlign w:val="bottom"/>
          </w:tcPr>
          <w:p>
            <w:pPr>
              <w:spacing w:after="0"/>
              <w:rPr>
                <w:sz w:val="20"/>
                <w:szCs w:val="20"/>
                <w:color w:val="auto"/>
              </w:rPr>
            </w:pPr>
          </w:p>
        </w:tc>
        <w:tc>
          <w:tcPr>
            <w:tcW w:w="29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4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159,968</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53,823</w:t>
            </w:r>
          </w:p>
        </w:tc>
      </w:tr>
      <w:tr>
        <w:trPr>
          <w:trHeight w:val="248"/>
        </w:trPr>
        <w:tc>
          <w:tcPr>
            <w:tcW w:w="4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Related Assets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$24.7 million and $23.6 million as of March 31, 2025 and September 30, 2024, respectively, are included in property, equipment and improvements, net. Depreciation expense for these subscriber assets, which is included in cost of sales, was $2.1 million and $1.2 million for the three months ended March 31, 2025 and 2024, respectively. Depreciation expense for these subscriber assets, which is included in cost of sales, was $4.0 million and $2.2 million for the six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Contract assets at Digi consist of products and services that have been fulfilled, but for which revenue has not yet been recognized. Our contract asset balances were immaterial as of March 31, 2025 and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Contract liabilities consist of unearned revenue related to annual or multi-year contracts for subscription services and related implementation fees, as well as product sales that have been invoiced, but not yet fulfilled. The timing of revenue recognition may differ from the timing of invoicing to customers. Customers are invoiced for subscription services on a monthly, quarterly or annual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REVENUE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 liabilities were $42.5 million and $38.0 million at March 31, 2025 and 2024, respectively.</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There were contract liability balances of $41.6 million and $35.0 million as of December 31, 2024 and 2023, respectively. Of these balances, Digi recognized $10.2 million and $8.3 million as revenue in the three months ended March 31, 2025 and 2024, respectively. There were contract liability balances of $36.8 million and $27.9 million as of September 30, 2024 and 2023, respectively. Digi recognized $16.4 million and $13.3 million as revenue in the six months ended March 31, 2025 and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March 31, 2025, we had approximately $160.8 million of remaining performance obligations on contracts with an original duration of one year or more. We expect to recognize revenue on approximately $76.2 million of remaining performance obligations over the next 12 months. We expect to recognize revenue from the remaining performance obligations over a range of two to five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INCOME TAXES</w:t>
      </w:r>
    </w:p>
    <w:p>
      <w:pPr>
        <w:spacing w:after="0" w:line="17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income tax expense was $2.9 million for the six months ended March 31, 2025. Included in this was a net tax benefit of $0.5 million discretely related to the six months ended March 31, 2025. This benefit was the result of recognized stock compensation tax benefits in excess of book stock compensation tax benefits.</w:t>
      </w:r>
    </w:p>
    <w:p>
      <w:pPr>
        <w:spacing w:after="0" w:line="136"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8"/>
          <w:szCs w:val="18"/>
          <w:color w:val="auto"/>
        </w:rPr>
        <w:t>Our effective tax rate will vary based on a variety of factors. These factors include our overall profitability, the geographical mix of income before taxes and related statutory tax rate in each jurisdiction, and tax items discretely related to the period, such as tax impacts of stock compensation, as there are no open audits during the period. We may record other benefits or expenses in the future that are specific to a particular quarter such as expiration of statutes of limitation, the completion of tax audits, or legislation that is enacted in both U.S. and foreign jurisdictions.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21"/>
        </w:trPr>
        <w:tc>
          <w:tcPr>
            <w:tcW w:w="9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September 30, 2024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March 31, 2025</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w:t>
            </w: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March 31, 2025 that, if recognized, would affect our effective tax rate was $3.4 million, after considering the impact of interest and deferred benefit items. We expect that the total amount of unrecognized tax benefits will decrease by approximately $0.4 million over the next 12 months.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PRODUCT WARRANTY OBLIGATION</w:t>
      </w:r>
    </w:p>
    <w:p>
      <w:pPr>
        <w:spacing w:after="0" w:line="144"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following tables summarize the activity associated with the product warranty accrual (in thousands) and is included on our condensed consolidated balance sheets within other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accrued</w:t>
            </w:r>
          </w:p>
        </w:tc>
        <w:tc>
          <w:tcPr>
            <w:tcW w:w="3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settlements</w:t>
            </w:r>
          </w:p>
        </w:tc>
        <w:tc>
          <w:tcPr>
            <w:tcW w:w="37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720" w:type="dxa"/>
            <w:vAlign w:val="bottom"/>
          </w:tcPr>
          <w:p>
            <w:pPr>
              <w:spacing w:after="0"/>
              <w:rPr>
                <w:sz w:val="19"/>
                <w:szCs w:val="19"/>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accrued</w:t>
            </w:r>
          </w:p>
        </w:tc>
        <w:tc>
          <w:tcPr>
            <w:tcW w:w="3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made</w:t>
            </w:r>
          </w:p>
        </w:tc>
        <w:tc>
          <w:tcPr>
            <w:tcW w:w="37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720" w:type="dxa"/>
            <w:vAlign w:val="bottom"/>
          </w:tcPr>
          <w:p>
            <w:pPr>
              <w:spacing w:after="0"/>
              <w:rPr>
                <w:sz w:val="19"/>
                <w:szCs w:val="19"/>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2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8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LEASES</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spacing w:after="0" w:line="1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24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0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10,207</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5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30"/>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w:t>
            </w:r>
          </w:p>
        </w:tc>
      </w:tr>
      <w:tr>
        <w:trPr>
          <w:trHeight w:val="20"/>
        </w:trPr>
        <w:tc>
          <w:tcPr>
            <w:tcW w:w="22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40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0"/>
        </w:trPr>
        <w:tc>
          <w:tcPr>
            <w:tcW w:w="4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the weighted average remaining lease term of our operating leases was 5.6 years and the weighted average discount rate for these leases was 4.7%.</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LEASES (CONTINUED)</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condensed consolidated balance sheet as of March 31, 2025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(six months)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w:t>
            </w: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w:t>
            </w:r>
          </w:p>
        </w:tc>
      </w:tr>
      <w:tr>
        <w:trPr>
          <w:trHeight w:val="21"/>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COMMITMENTS AND CONTINGENCIES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our condensed consolidated financial statements for additional information.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the matter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Stock-based awards granted in the first six months of fiscal 2025 and 2024 were granted under the Digi International Inc. 2021 Omnibus Incentive Plan (as amended and restated,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there were approximately 3,361,849 shares available for future grants under the 2021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the exercise of stock options was $2.7 million and $0.9 million for the six months ended March 31, 2025 and 2024, respectively.</w:t>
      </w:r>
    </w:p>
    <w:p>
      <w:pPr>
        <w:spacing w:after="0" w:line="19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six months ended March 31, 2025 and 2024, our employees forfeited 104,068 shares and 106,227 shares, respectively, in order to satisfy withholding tax obligations of $3.4 million and $2.7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 (CONTINUED)</w:t>
      </w:r>
    </w:p>
    <w:p>
      <w:pPr>
        <w:spacing w:after="0" w:line="19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$1.1 million for the six months ended March 31, 2025 and 2024. Pursuant to the ESPP, 47,820 and 50,171 common shares were issued to employees during the six months ended March 31, 2025 and 2024, respectively. Shares are issued under the ESPP from treasury stock. As of March 31, 2025, 320,677 common shares were available for future issuances under the ESPP.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stock-based compensation expense that is included in the consolidated results of operations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46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23"/>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(in thousands, except per common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Contractual Term (in</w:t>
            </w:r>
          </w:p>
        </w:tc>
        <w:tc>
          <w:tcPr>
            <w:tcW w:w="1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March 31, 2025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on March 31, 2025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$27.83 as of March 31, 2025, which would have been received by the option holders had all option holders exercised their options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STOCK-BASED COMPENSATION (CONTINUED)</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intrinsic value of an option is the amount by which the fair value of the underlying stock exceeds its exercise price. The total intrinsic value of all options exercised during the six months ended March 31, 2025 and 2024 was $17.4 million and $1.8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7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75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$16.23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$12.44</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4.31% - 4.38%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4.45% - 4.68%</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6.00 years</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6.00 years</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compensation cost related to non-vested stock options was $2.7 million and the related weighted average period over which it is expected to be recognized is approximately 1.9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 Units</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units and performance stock units as of March 31, 2025 and changes during the six months then ended (in thousands, except per common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PSUs</w:t>
            </w:r>
          </w:p>
        </w:tc>
        <w:tc>
          <w:tcPr>
            <w:tcW w:w="1560" w:type="dxa"/>
            <w:vAlign w:val="bottom"/>
            <w:tcBorders>
              <w:bottom w:val="single" w:sz="8" w:color="auto"/>
            </w:tcBorders>
          </w:tcPr>
          <w:p>
            <w:pPr>
              <w:spacing w:after="0"/>
              <w:rPr>
                <w:sz w:val="20"/>
                <w:szCs w:val="20"/>
                <w:color w:val="auto"/>
              </w:rPr>
            </w:pPr>
          </w:p>
        </w:tc>
      </w:tr>
      <w:tr>
        <w:trPr>
          <w:trHeight w:val="178"/>
        </w:trPr>
        <w:tc>
          <w:tcPr>
            <w:tcW w:w="3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Weighted Average Grant</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Weighted Average Grant</w:t>
            </w:r>
          </w:p>
        </w:tc>
      </w:tr>
      <w:tr>
        <w:trPr>
          <w:trHeight w:val="234"/>
        </w:trPr>
        <w:tc>
          <w:tcPr>
            <w:tcW w:w="39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Date Fair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March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March 31, 2025, the total unrecognized compensation cost related to non-vested restricted stock units and performance stock units was $25.4 million and $1.4 million, respectively. The related weighted average period over which these costs are expected to be recognized was approximately 2.2 years and 0.5 years,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management's discussion and analysis should be read in conjunction with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2024, as well as our subsequent reports on Form 10-Q and Form 8-K and any amendments to such reports.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which are statements based on management’s current expectations and assumptions. These statements often can be identified by the use of forward-looking terminology such as "assume," "believe," "continue," "estimate," "expect," "intend," "may," "plan," "potential," "project," "should," or "will" or the negative thereof or other variations thereon or similar terminology. Among other items, these statements relate to expectations of the business environment in which Digi operates, projections of future performance, inventory levels, perceived marketplace opportunities, debt repayments, attributions of potential acquisitions and statements regarding our mission and vision. Such statements are not guarantees of future performance and involve certain risks, uncertainties and assumptions. Among others, these include risks related to ongoing and varying inflationary and deflationary pressures around the world and the monetary and trade policies of governments globally as well as present and ongoing concerns about a potential recession, the potential for longer than expected sales cycles,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 regulatory risks that include, but are not limited to, the potential expansion of tariffs, risks related to cybersecurity, risks arising from the present military conflicts in Ukraine and the Middle East, the highly competitive market in which we operate,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spacing w:after="0" w:line="123" w:lineRule="exact"/>
        <w:rPr>
          <w:sz w:val="20"/>
          <w:szCs w:val="20"/>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and other risks, uncertainties and assumptions identified from time to time in our filings with the United States Securities and Exchange Commission, including without limitation, those set forth in Item 1A, Risk Factors, of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September 30, 2024, subsequent filings, as well as this Quarterly Report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Except to the extent required by law, we do not undertake, and expressly disclaim, any intent or obligation to update any forward-looking statements, whether as a result of new information, future events or otherwise.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15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our critical accounting estimates was provided in the Management's Discussion and Analysis of Financial Condition and Results of Operations section of our </w:t>
      </w:r>
      <w:hyperlink r:id="rId18">
        <w:r>
          <w:rPr>
            <w:rFonts w:ascii="Times New Roman" w:cs="Times New Roman" w:eastAsia="Times New Roman" w:hAnsi="Times New Roman"/>
            <w:sz w:val="18"/>
            <w:szCs w:val="18"/>
            <w:u w:val="single" w:color="auto"/>
            <w:color w:val="0000FF"/>
          </w:rPr>
          <w:t>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2025, our key operating objectives include:</w:t>
      </w:r>
    </w:p>
    <w:p>
      <w:pPr>
        <w:spacing w:after="0" w:line="158" w:lineRule="exact"/>
        <w:rPr>
          <w:sz w:val="20"/>
          <w:szCs w:val="20"/>
          <w:color w:val="auto"/>
        </w:rPr>
      </w:pPr>
    </w:p>
    <w:p>
      <w:pPr>
        <w:ind w:left="660" w:right="100" w:hanging="328"/>
        <w:spacing w:after="0" w:line="234"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continuing to transition to complete solutions with software and service offerings included with our products, as this drives Annualized Recurring Revenue ("ARR"), which provides more predictable and higher margin revenue; and</w:t>
      </w:r>
    </w:p>
    <w:p>
      <w:pPr>
        <w:spacing w:after="0" w:line="9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higher level of customer service across our businesses.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the second quarter of fiscal 2025 that we feel are most important in these evaluations, with comparisons to the second quarter of fiscal 2024:</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$105 million, a decrease of 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was $65 million, an increase of 4%.</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Gross profit margin was 62.1%, an increase of 420 basis points.</w:t>
      </w:r>
    </w:p>
    <w:p>
      <w:pPr>
        <w:spacing w:after="0" w:line="8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$10 million, compared to $4 million.</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Net income per diluted share was $0.28, compared to a net loss per diluted share of $0.11.</w:t>
      </w:r>
    </w:p>
    <w:p>
      <w:pPr>
        <w:spacing w:after="0" w:line="89" w:lineRule="exact"/>
        <w:rPr>
          <w:rFonts w:ascii="Arial" w:cs="Arial" w:eastAsia="Arial" w:hAnsi="Arial"/>
          <w:sz w:val="22"/>
          <w:szCs w:val="22"/>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net income per share was $19 million, or $0.51 per diluted share, respectively, compared to $18 million, or $0.49 per diluted share, respectively.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EBITDA was $26 million, or 24.9% of revenue, compared to $24 million or 22.1% of revenue.</w:t>
      </w:r>
    </w:p>
    <w:p>
      <w:pPr>
        <w:spacing w:after="0" w:line="13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Annualized Recurring Revenue (ARR) was $123 million at quarter end, an increase of 12%.</w:t>
      </w:r>
    </w:p>
    <w:p>
      <w:pPr>
        <w:spacing w:after="0" w:line="9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recent periods, we have experienced longer than expected sales cycles with respect to many contracts and projects of potential significance. We believe this is related to macroeconomic conditions and are uncertain as to when and to what degree sales cycles will return to more normal conditions, but expect this may adversely impact our results for at least the remainder of fiscal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like many companies we are monitoring the impact recently announced tariffs by governments around the world may have on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fluidity of these announcements and their ability to be changed, the exact impact of tariffs on our future results is not 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derived from our interim condensed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 incr.</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(decr.)</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90"/>
        </w:trPr>
        <w:tc>
          <w:tcPr>
            <w:tcW w:w="1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104,503</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107,702</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208,369</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213,791</w:t>
            </w: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6"/>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39,570</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42.1</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79,038</w:t>
            </w:r>
          </w:p>
        </w:tc>
        <w:tc>
          <w:tcPr>
            <w:tcW w:w="12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42.3</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3"/>
        </w:trPr>
        <w:tc>
          <w:tcPr>
            <w:tcW w:w="1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64,933</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57.9</w:t>
            </w:r>
          </w:p>
        </w:tc>
        <w:tc>
          <w:tcPr>
            <w:tcW w:w="94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129,331</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123,418</w:t>
            </w: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57.7</w:t>
            </w:r>
          </w:p>
        </w:tc>
        <w:tc>
          <w:tcPr>
            <w:tcW w:w="94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6"/>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51,206</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50.3</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102,245</w:t>
            </w:r>
          </w:p>
        </w:tc>
        <w:tc>
          <w:tcPr>
            <w:tcW w:w="12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103,134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48.2</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3"/>
        </w:trPr>
        <w:tc>
          <w:tcPr>
            <w:tcW w:w="1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13,727</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w:t>
            </w:r>
          </w:p>
        </w:tc>
        <w:tc>
          <w:tcPr>
            <w:tcW w:w="94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27,086</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w:t>
            </w:r>
          </w:p>
        </w:tc>
        <w:tc>
          <w:tcPr>
            <w:tcW w:w="94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96"/>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2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203"/>
        </w:trPr>
        <w:tc>
          <w:tcPr>
            <w:tcW w:w="1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12,348</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940" w:type="dxa"/>
            <w:vAlign w:val="bottom"/>
            <w:tcBorders>
              <w:top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179.2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23,444</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9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332.5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2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8"/>
        </w:trPr>
        <w:tc>
          <w:tcPr>
            <w:tcW w:w="1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940" w:type="dxa"/>
            <w:vAlign w:val="bottom"/>
            <w:tcBorders>
              <w:top w:val="single" w:sz="8" w:color="CCEEFF"/>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incr.</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7"/>
          </w:tcPr>
          <w:p>
            <w:pPr>
              <w:jc w:val="right"/>
              <w:ind w:right="948"/>
              <w:spacing w:after="0"/>
              <w:rPr>
                <w:sz w:val="20"/>
                <w:szCs w:val="20"/>
                <w:color w:val="auto"/>
              </w:rPr>
            </w:pPr>
            <w:r>
              <w:rPr>
                <w:rFonts w:ascii="Times New Roman" w:cs="Times New Roman" w:eastAsia="Times New Roman" w:hAnsi="Times New Roman"/>
                <w:sz w:val="14"/>
                <w:szCs w:val="14"/>
                <w:color w:val="auto"/>
              </w:rPr>
              <w:t>Six months ended March 31,</w:t>
            </w:r>
          </w:p>
        </w:tc>
        <w:tc>
          <w:tcPr>
            <w:tcW w:w="0" w:type="dxa"/>
            <w:vAlign w:val="bottom"/>
          </w:tcPr>
          <w:p>
            <w:pPr>
              <w:spacing w:after="0"/>
              <w:rPr>
                <w:sz w:val="1"/>
                <w:szCs w:val="1"/>
                <w:color w:val="auto"/>
              </w:rPr>
            </w:pPr>
          </w:p>
        </w:tc>
      </w:tr>
      <w:tr>
        <w:trPr>
          <w:trHeight w:val="23"/>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(decr.)</w:t>
            </w: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w w:val="92"/>
              </w:rPr>
              <w:t>2024</w:t>
            </w:r>
          </w:p>
        </w:tc>
        <w:tc>
          <w:tcPr>
            <w:tcW w:w="0" w:type="dxa"/>
            <w:vAlign w:val="bottom"/>
          </w:tcPr>
          <w:p>
            <w:pPr>
              <w:spacing w:after="0"/>
              <w:rPr>
                <w:sz w:val="1"/>
                <w:szCs w:val="1"/>
                <w:color w:val="auto"/>
              </w:rPr>
            </w:pPr>
          </w:p>
        </w:tc>
      </w:tr>
      <w:tr>
        <w:trPr>
          <w:trHeight w:val="190"/>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74.4 %</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155,606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74.7 %</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165,413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77.4 %</w:t>
            </w:r>
          </w:p>
        </w:tc>
        <w:tc>
          <w:tcPr>
            <w:tcW w:w="0" w:type="dxa"/>
            <w:vAlign w:val="bottom"/>
          </w:tcPr>
          <w:p>
            <w:pPr>
              <w:spacing w:after="0"/>
              <w:rPr>
                <w:sz w:val="1"/>
                <w:szCs w:val="1"/>
                <w:color w:val="auto"/>
              </w:rPr>
            </w:pPr>
          </w:p>
        </w:tc>
      </w:tr>
      <w:tr>
        <w:trPr>
          <w:trHeight w:val="203"/>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9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52,763</w:t>
            </w:r>
          </w:p>
        </w:tc>
        <w:tc>
          <w:tcPr>
            <w:tcW w:w="10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48,378</w:t>
            </w:r>
          </w:p>
        </w:tc>
        <w:tc>
          <w:tcPr>
            <w:tcW w:w="104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104,503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107,702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208,369</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213,791</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-299720</wp:posOffset>
            </wp:positionV>
            <wp:extent cx="711517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-565150</wp:posOffset>
            </wp:positionV>
            <wp:extent cx="711517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9" w:hanging="149"/>
        <w:spacing w:after="0"/>
        <w:tabs>
          <w:tab w:leader="none" w:pos="14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w:t>
      </w:r>
    </w:p>
    <w:p>
      <w:pPr>
        <w:spacing w:after="0" w:line="55" w:lineRule="exact"/>
        <w:rPr>
          <w:rFonts w:ascii="Times New Roman" w:cs="Times New Roman" w:eastAsia="Times New Roman" w:hAnsi="Times New Roman"/>
          <w:sz w:val="14"/>
          <w:szCs w:val="14"/>
          <w:color w:val="auto"/>
        </w:rPr>
      </w:pPr>
    </w:p>
    <w:p>
      <w:pPr>
        <w:ind w:left="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w:t>
      </w:r>
    </w:p>
    <w:p>
      <w:pPr>
        <w:spacing w:after="0" w:line="2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(5.9)%</w:t>
      </w:r>
    </w:p>
    <w:p>
      <w:pPr>
        <w:spacing w:after="0" w:line="4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4"/>
          <w:szCs w:val="14"/>
          <w:color w:val="auto"/>
        </w:rPr>
        <w:t>9.1</w:t>
      </w:r>
    </w:p>
    <w:p>
      <w:pPr>
        <w:spacing w:after="0" w:line="8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(2.5)%</w:t>
      </w:r>
    </w:p>
    <w:p>
      <w:pPr>
        <w:spacing w:after="0" w:line="277" w:lineRule="exact"/>
        <w:rPr>
          <w:sz w:val="20"/>
          <w:szCs w:val="20"/>
          <w:color w:val="auto"/>
        </w:rPr>
      </w:pPr>
    </w:p>
    <w:p>
      <w:pPr>
        <w:sectPr>
          <w:pgSz w:w="11900" w:h="16838" w:orient="portrait"/>
          <w:cols w:equalWidth="0" w:num="2">
            <w:col w:w="10260" w:space="331"/>
            <w:col w:w="649"/>
          </w:cols>
          <w:pgMar w:left="320" w:top="297" w:right="33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1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IoT Products &amp; Services revenue decreased $5.6 million for the three months ended March 31, 2025, as compared to the same period in the prior fiscal year. The decrease consisted of a $6.8 million decline in one-time sales, with no material impact from pricing. This was driven by lower demand for some products, as some customers are bleeding down inventory stockpiled from when supply chains were stressed, partially offset by increased demand for some products from new project-based customer initiatives. This decrease was partially offset by $1.2 million of recurring revenue growth.</w:t>
      </w:r>
    </w:p>
    <w:p>
      <w:pPr>
        <w:spacing w:after="0" w:line="21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IoT Products &amp; Services revenue decreased $9.8 million for the six months ended March 31, 2025, as compared to the same period in the prior fiscal year. The decrease consisted of a $11.5 million decline in one-time sales, with no material impact from pricing. This was driven by lower demand for some products, as some customers are bleeding down inventory stockpiled from when supply chains were stressed, partially offset by increased demand for some products from new project-based customer initiatives. This decrease was partially offset by $1.7 million of recurring revenue growth.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18"/>
          <w:szCs w:val="18"/>
          <w:color w:val="auto"/>
        </w:rPr>
        <w:t>IoT Solutions revenue increased $2.4 million for the three months ended March 31, 2025, as compared to the same period in the prior fiscal year. The increase consisted of a $2.4 million increase in recurring revenue, driven by growth in both SmartSense and Ventus.</w:t>
      </w:r>
    </w:p>
    <w:p>
      <w:pPr>
        <w:spacing w:after="0" w:line="195"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IoT Solutions revenue increased $4.4 million for the six months ended March 31, 2025, as compared to the same period in the prior fiscal year. The increase consisted of a $4.5 million increase in recurring revenue, driven by growth in both SmartSense and Ventus, partially offset by a $0.1 million decrease in one-time sales.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w:t>
      </w:r>
    </w:p>
    <w:p>
      <w:pPr>
        <w:spacing w:after="0" w:line="16" w:lineRule="exact"/>
        <w:rPr>
          <w:sz w:val="20"/>
          <w:szCs w:val="20"/>
          <w:color w:val="auto"/>
        </w:rPr>
      </w:pPr>
    </w:p>
    <w:p>
      <w:pPr>
        <w:ind w:right="400"/>
        <w:spacing w:after="0" w:line="234" w:lineRule="auto"/>
        <w:rPr>
          <w:sz w:val="20"/>
          <w:szCs w:val="20"/>
          <w:color w:val="auto"/>
        </w:rPr>
      </w:pPr>
      <w:r>
        <w:rPr>
          <w:rFonts w:ascii="Times New Roman" w:cs="Times New Roman" w:eastAsia="Times New Roman" w:hAnsi="Times New Roman"/>
          <w:sz w:val="18"/>
          <w:szCs w:val="18"/>
          <w:color w:val="auto"/>
        </w:rPr>
        <w:t>ARR was $123 million as of March 31, 2025, compared to $110 million as of March 31, 2024. IoT Products &amp; Services ARR was $28 million as of March 31, 2025, compared to $23 million as of March 31, 2024. This increase was due to growth in the subscription base across remote management platforms and extended warranty offerings. IoT Solutions ARR was $95 million as of March 31, 2025, compared to $87 million as of March 31, 2024, driven by growth in both SmartSense and Ventus.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segments' cost of goods sold and gross profit as a percentage of their respective total revenue: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60" w:type="dxa"/>
            <w:vAlign w:val="bottom"/>
            <w:tcBorders>
              <w:bottom w:val="single" w:sz="8" w:color="auto"/>
            </w:tcBorders>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Basis point</w:t>
            </w: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inc. (decr.)</w:t>
            </w:r>
          </w:p>
        </w:tc>
      </w:tr>
      <w:tr>
        <w:trPr>
          <w:trHeight w:val="223"/>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31,931</w:t>
            </w:r>
          </w:p>
        </w:tc>
        <w:tc>
          <w:tcPr>
            <w:tcW w:w="50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46.0 %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29.0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39,570</w:t>
            </w:r>
          </w:p>
        </w:tc>
        <w:tc>
          <w:tcPr>
            <w:tcW w:w="50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45,384</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42.1 %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96"/>
        </w:trPr>
        <w:tc>
          <w:tcPr>
            <w:tcW w:w="55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 Operating Segments Gross Profit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45,852</w:t>
            </w:r>
          </w:p>
        </w:tc>
        <w:tc>
          <w:tcPr>
            <w:tcW w:w="50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54.0 %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 Operating Segments Gross Profit</w:t>
            </w: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64,933</w:t>
            </w:r>
          </w:p>
        </w:tc>
        <w:tc>
          <w:tcPr>
            <w:tcW w:w="50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62.1 %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57.9 %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884"/>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760" w:type="dxa"/>
            <w:vAlign w:val="bottom"/>
            <w:tcBorders>
              <w:bottom w:val="single" w:sz="8" w:color="auto"/>
            </w:tcBorders>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Basis point</w:t>
            </w:r>
          </w:p>
        </w:tc>
      </w:tr>
      <w:tr>
        <w:trPr>
          <w:trHeight w:val="22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Pr>
          <w:p>
            <w:pPr>
              <w:spacing w:after="0"/>
              <w:rPr>
                <w:sz w:val="19"/>
                <w:szCs w:val="19"/>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inc. (decr.)</w:t>
            </w:r>
          </w:p>
        </w:tc>
      </w:tr>
      <w:tr>
        <w:trPr>
          <w:trHeight w:val="223"/>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64,151</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41.2 %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76,493</w:t>
            </w:r>
          </w:p>
        </w:tc>
        <w:tc>
          <w:tcPr>
            <w:tcW w:w="48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46.2 %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79,038</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37.9 %</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90,373</w:t>
            </w:r>
          </w:p>
        </w:tc>
        <w:tc>
          <w:tcPr>
            <w:tcW w:w="48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97"/>
        </w:trPr>
        <w:tc>
          <w:tcPr>
            <w:tcW w:w="55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 Operating Segments Gross Profit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91,455</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58.8 %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88,920</w:t>
            </w:r>
          </w:p>
        </w:tc>
        <w:tc>
          <w:tcPr>
            <w:tcW w:w="48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53.8 %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 Operating Segments Gross Profit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37,876</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129,331</w:t>
            </w:r>
          </w:p>
        </w:tc>
        <w:tc>
          <w:tcPr>
            <w:tcW w:w="50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62.1 %</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48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57.7 %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7"/>
          <w:szCs w:val="17"/>
          <w:color w:val="auto"/>
        </w:rPr>
        <w:t>IoT Products &amp; Services gross profit margin increased 490 basis points for the three months ended March 31, 2025 as compared to the same period in the prior fiscal year. This increase was driven by a favorable margin mix among product sales partially offset by an increase in inventory related adjustments.</w:t>
      </w:r>
    </w:p>
    <w:p>
      <w:pPr>
        <w:spacing w:after="0" w:line="187"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7"/>
          <w:szCs w:val="17"/>
          <w:color w:val="auto"/>
        </w:rPr>
        <w:t>IoT Products &amp; Services gross profit margin increased 500 basis points for the six months ended March 31, 2025 as compared to the same period in the prior fiscal year. This increase was driven by a favorable margin mix among product sales partially offset by an increase in inventory related adjustments.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8"/>
          <w:szCs w:val="18"/>
          <w:color w:val="auto"/>
        </w:rPr>
        <w:t>The IoT Solutions gross profit margin increased 40 basis points for the three months ended March 31, 2025 as compared to the same period in the prior fiscal year. This increase was the result of growth in higher margin ARR subscription revenues.</w:t>
      </w:r>
    </w:p>
    <w:p>
      <w:pPr>
        <w:spacing w:after="0" w:line="20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IoT Solutions gross profit margin increased 50 basis points for the six months ended March 31, 2025 as compared to the same period in the prior fiscal year. This increase was the result of growth in higher margin ARR subscription revenues.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operating expenses and operating expenses as a percentage of total revenue: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9"/>
          </w:tcPr>
          <w:p>
            <w:pPr>
              <w:jc w:val="right"/>
              <w:ind w:right="1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0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incr.</w:t>
            </w: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incr.</w:t>
            </w:r>
          </w:p>
        </w:tc>
        <w:tc>
          <w:tcPr>
            <w:tcW w:w="120" w:type="dxa"/>
            <w:vAlign w:val="bottom"/>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14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color w:val="auto"/>
                <w:w w:val="97"/>
              </w:rPr>
              <w:t>(decr.)</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20" w:type="dxa"/>
            <w:vAlign w:val="bottom"/>
          </w:tcPr>
          <w:p>
            <w:pPr>
              <w:spacing w:after="0"/>
              <w:rPr>
                <w:sz w:val="12"/>
                <w:szCs w:val="12"/>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21.1 %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19.0 %  $   1,501</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7.3 %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43,798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18.7 %  $  3,611</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820" w:type="dxa"/>
            <w:vAlign w:val="bottom"/>
            <w:tcBorders>
              <w:bottom w:val="single" w:sz="8" w:color="CCEEFF"/>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28,095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840" w:type="dxa"/>
            <w:vAlign w:val="bottom"/>
            <w:tcBorders>
              <w:bottom w:val="single" w:sz="8" w:color="CCEEFF"/>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49.0 %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50.3 %</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(2,961)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102,245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49.1 %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48.2 %</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(889)</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$3.0 million decrease in operating expenses for the three months ended March 31, 2025, as compared to the same period in the prior fiscal year was due to a $6.3 million litigation reserve increase in the second fiscal quarter of fiscal 2024 that did not reoccur, partially offset by a $2.1 million gain on the sale of an intangible asset in the second fiscal quarter of fiscal 2024 that did not reoccur and a $1.2 million increase in non-labor expenses. The $0.9 million decrease in operating expenses for the six months ended March 31, 2025, as compared to the same period in the prior fiscal year was due to a $6.3 million litigation reserve increase in the second fiscal quarter of fiscal 2024 that did not reoccur, partially offset by a $2.1 million gain on the sale of an intangible asset in the second fiscal quarter of fiscal 2024 that did not reoccur and a $2.9 million increase in labor expenses and a $0.4 million increase in non-labor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other expenses, net, and other expenses, net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9"/>
          </w:tcPr>
          <w:p>
            <w:pPr>
              <w:jc w:val="right"/>
              <w:ind w:right="1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color w:val="auto"/>
              </w:rPr>
              <w:t>Six months ended March 31,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vMerge w:val="restart"/>
          </w:tcPr>
          <w:p>
            <w:pPr>
              <w:jc w:val="center"/>
              <w:ind w:right="28"/>
              <w:spacing w:after="0" w:line="159" w:lineRule="exact"/>
              <w:rPr>
                <w:sz w:val="20"/>
                <w:szCs w:val="20"/>
                <w:color w:val="auto"/>
              </w:rPr>
            </w:pPr>
            <w:r>
              <w:rPr>
                <w:rFonts w:ascii="Times New Roman" w:cs="Times New Roman" w:eastAsia="Times New Roman" w:hAnsi="Times New Roman"/>
                <w:sz w:val="14"/>
                <w:szCs w:val="14"/>
                <w:color w:val="auto"/>
              </w:rPr>
              <w:t>incr.</w:t>
            </w:r>
          </w:p>
        </w:tc>
        <w:tc>
          <w:tcPr>
            <w:tcW w:w="120" w:type="dxa"/>
            <w:vAlign w:val="bottom"/>
          </w:tcPr>
          <w:p>
            <w:pPr>
              <w:spacing w:after="0"/>
              <w:rPr>
                <w:sz w:val="2"/>
                <w:szCs w:val="2"/>
                <w:color w:val="auto"/>
              </w:rPr>
            </w:pPr>
          </w:p>
        </w:tc>
        <w:tc>
          <w:tcPr>
            <w:tcW w:w="820" w:type="dxa"/>
            <w:vAlign w:val="bottom"/>
            <w:gridSpan w:val="2"/>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w w:val="94"/>
              </w:rPr>
              <w:t>incr.</w:t>
            </w: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2"/>
                <w:szCs w:val="2"/>
                <w:color w:val="auto"/>
              </w:rPr>
            </w:pPr>
          </w:p>
        </w:tc>
        <w:tc>
          <w:tcPr>
            <w:tcW w:w="7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incr.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14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(decr.)</w:t>
            </w: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(decr.)</w:t>
            </w:r>
          </w:p>
        </w:tc>
        <w:tc>
          <w:tcPr>
            <w:tcW w:w="9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issuance cost write-off</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NM</w:t>
            </w:r>
          </w:p>
        </w:tc>
        <w:tc>
          <w:tcPr>
            <w:tcW w:w="9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9,722</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other expense,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(19,138)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15,496</w:t>
            </w:r>
          </w:p>
        </w:tc>
        <w:tc>
          <w:tcPr>
            <w:tcW w:w="8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Other expense, net, decreased $2.4 million for the three months ended March 31, 2025, as compared to the same period in the prior fiscal year. Other expense, net, decreased $15.5 million for the six months ended March 31, 2025, as compared to the same period in the prior fiscal year. These decreases were driven by a write-off of debt issuance costs in 2024 and a reduction in interest expense due to a decrease in average debt outstanding and our effective interest rate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the condensed consolidated financial statements for discussion of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BUSINESS METRIC</w:t>
      </w:r>
    </w:p>
    <w:p>
      <w:pPr>
        <w:spacing w:after="0" w:line="171" w:lineRule="exact"/>
        <w:rPr>
          <w:sz w:val="20"/>
          <w:szCs w:val="20"/>
          <w:color w:val="auto"/>
        </w:rPr>
      </w:pPr>
    </w:p>
    <w:p>
      <w:pPr>
        <w:ind w:right="400"/>
        <w:spacing w:after="0" w:line="232" w:lineRule="auto"/>
        <w:rPr>
          <w:sz w:val="20"/>
          <w:szCs w:val="20"/>
          <w:color w:val="auto"/>
        </w:rPr>
      </w:pPr>
      <w:r>
        <w:rPr>
          <w:rFonts w:ascii="Times New Roman" w:cs="Times New Roman" w:eastAsia="Times New Roman" w:hAnsi="Times New Roman"/>
          <w:sz w:val="18"/>
          <w:szCs w:val="18"/>
          <w:color w:val="auto"/>
        </w:rPr>
        <w:t>Annualized Recurring Revenue (ARR)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the condensed consolidated financial statements for additional discussion of goodwill.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 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are important to our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1020" w:type="dxa"/>
            <w:vAlign w:val="bottom"/>
            <w:tcBorders>
              <w:bottom w:val="single" w:sz="8" w:color="auto"/>
            </w:tcBorders>
          </w:tcPr>
          <w:p>
            <w:pPr>
              <w:spacing w:after="0"/>
              <w:rPr>
                <w:sz w:val="20"/>
                <w:szCs w:val="20"/>
                <w:color w:val="auto"/>
              </w:rPr>
            </w:pPr>
          </w:p>
        </w:tc>
      </w:tr>
      <w:tr>
        <w:trPr>
          <w:trHeight w:val="223"/>
        </w:trPr>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r>
      <w:tr>
        <w:trPr>
          <w:trHeight w:val="169"/>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 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8"/>
              </w:rPr>
              <w:t>% of 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 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 of total</w:t>
            </w:r>
          </w:p>
        </w:tc>
      </w:tr>
      <w:tr>
        <w:trPr>
          <w:trHeight w:val="239"/>
        </w:trPr>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revenue</w:t>
            </w:r>
          </w:p>
        </w:tc>
      </w:tr>
      <w:tr>
        <w:trPr>
          <w:trHeight w:val="247"/>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104,503</w:t>
            </w:r>
          </w:p>
        </w:tc>
        <w:tc>
          <w:tcPr>
            <w:tcW w:w="1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208,369</w:t>
            </w:r>
          </w:p>
        </w:tc>
        <w:tc>
          <w:tcPr>
            <w:tcW w:w="180" w:type="dxa"/>
            <w:vAlign w:val="bottom"/>
            <w:tcBorders>
              <w:top w:val="single" w:sz="8" w:color="CCEEFF"/>
            </w:tcBorders>
            <w:gridSpan w:val="2"/>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213,791</w:t>
            </w: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 write-off</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accrual</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asset sale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expense,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net income per diluted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expense, net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accrual</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asset sale</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 write-off</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from the above adjustments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Discrete tax benefits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37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net income and adjusted net income per</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37,699</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diluted share </w:t>
            </w:r>
            <w:r>
              <w:rPr>
                <w:rFonts w:ascii="Times New Roman" w:cs="Times New Roman" w:eastAsia="Times New Roman" w:hAnsi="Times New Roman"/>
                <w:sz w:val="23"/>
                <w:szCs w:val="23"/>
                <w:color w:val="auto"/>
                <w:vertAlign w:val="superscript"/>
              </w:rPr>
              <w:t>(3)</w:t>
            </w:r>
          </w:p>
        </w:tc>
        <w:tc>
          <w:tcPr>
            <w:tcW w:w="20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36,855</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from the above adjustments assumes an estimated effective tax rate of 18.0% for fiscal 2025 and fiscal 2024 based on adjusted net income.</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three and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6"/>
          <w:szCs w:val="16"/>
          <w:color w:val="auto"/>
        </w:rPr>
        <w:t xml:space="preserve"> months ended March 31, 2025 and 2024, discrete tax benefits are a result of changes in excess tax benefits recognized on stock compensation.</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diluted share may not add due to the use of rounded numbers.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December 7, 2023, we entered into a credit agreement. The Credit Agreement provides Digi with a $250 million senior secured revolving credit facility, with an uncommitted accordion feature that provides for additional borrowing capacity of up to the greater of $95 million or one hundred percent of trailing twelve month adjusted earnings before interest, taxes, depreciation, and amortization. The Credit Facility also contains a $10 million letter of credit sublimit and $10 million swingline sub-facility. Digi used the proceeds to retire the remaining balance of the prior credit agreement and may use the proceeds in the future for general corporate purposes. For additional information regarding the terms of our Credit Facility, including the Revolving Loan and its subfacilities,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condensed consolidated financial statements.</w:t>
      </w:r>
    </w:p>
    <w:p>
      <w:pPr>
        <w:spacing w:after="0" w:line="16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Credit Agreement replaced our prior credit agreement that consisted of a $350 million term loan B secured loan and a $35 million revolving credit facility. The $35 million revolving credit facility included a $10 million letter of credit subfacility and $10 million swingline subfacility.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cash flows for the six months ended March 31, 2025 and 2024 are summarized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 March 31,</w:t>
            </w:r>
          </w:p>
        </w:tc>
      </w:tr>
      <w:tr>
        <w:trPr>
          <w:trHeight w:val="22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20" w:type="dxa"/>
            <w:vAlign w:val="bottom"/>
          </w:tcPr>
          <w:p>
            <w:pPr>
              <w:spacing w:after="0"/>
              <w:rPr>
                <w:sz w:val="19"/>
                <w:szCs w:val="19"/>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31,727</w:t>
            </w:r>
          </w:p>
        </w:tc>
      </w:tr>
      <w:tr>
        <w:trPr>
          <w:trHeight w:val="22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3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(42,692)</w:t>
            </w:r>
          </w:p>
        </w:tc>
      </w:tr>
      <w:tr>
        <w:trPr>
          <w:trHeight w:val="230"/>
        </w:trPr>
        <w:tc>
          <w:tcPr>
            <w:tcW w:w="7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48"/>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 increased $24.3 million as a result of:</w:t>
      </w:r>
    </w:p>
    <w:p>
      <w:pPr>
        <w:spacing w:after="0" w:line="20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$19.6 million increase in net income in the first half of fiscal 2025,</w:t>
      </w:r>
    </w:p>
    <w:p>
      <w:pPr>
        <w:spacing w:after="0" w:line="18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$11.5 million decrease in net operating assets for the first six months of fiscal 2025 compared to a $4.6 million increase in the first six months of fiscal 2024,</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$2.2 million gain on the sale of assets in the second quarter of fiscal 2024,</w:t>
      </w:r>
    </w:p>
    <w:p>
      <w:pPr>
        <w:spacing w:after="0" w:line="19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$0.4 million increase in deferred income tax benefit for the first six months of fiscal 2025 compared to a $1.9 million increase in the first six months of fiscal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were partially offset by:</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$9.7 million debt issuance cost write-off included in net income in the first quarter of fiscal 2024,</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$6.3 million accrual for litigation expense in the second quarter of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 decreased $2.6 million as a result of:</w:t>
      </w:r>
    </w:p>
    <w:p>
      <w:pPr>
        <w:spacing w:after="0" w:line="18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decrease in proceeds from the sale of intangible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$0.3 million increase in purchases of property, equipment, improvements and certain other intangible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 increased $13.3 million as a result of:</w:t>
      </w:r>
    </w:p>
    <w:p>
      <w:pPr>
        <w:spacing w:after="0" w:line="18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$214.1 million from the issuance of a new credit facility in the first quarter of fiscal 2024 that did not repeat in 2025,</w:t>
      </w:r>
    </w:p>
    <w:p>
      <w:pPr>
        <w:spacing w:after="0" w:line="18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$3.8 million increase in taxes paid to satisfy tax withholding obligations of holders of options to purchase common shares and restricted stock unit awards in connections with net share settlements.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were partially offset by:</w:t>
      </w:r>
    </w:p>
    <w:p>
      <w:pPr>
        <w:spacing w:after="0" w:line="18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payments of $53.3 million in the first half of fiscal 2025, compared to debt payments of $256.0 million in the first half of fiscal 2024</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$1.7 million increase in proceeds from stock option exercises and employee stock purchase plan transactions.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1"/>
        </w:trPr>
        <w:tc>
          <w:tcPr>
            <w:tcW w:w="6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March 31, 2025: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Payments due by fiscal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w:t>
            </w: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 years</w:t>
            </w:r>
          </w:p>
        </w:tc>
        <w:tc>
          <w:tcPr>
            <w:tcW w:w="1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Thereafter</w:t>
            </w: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30"/>
        </w:trPr>
        <w:tc>
          <w:tcPr>
            <w:tcW w:w="20" w:type="dxa"/>
            <w:vAlign w:val="bottom"/>
          </w:tcPr>
          <w:p>
            <w:pPr>
              <w:spacing w:after="0"/>
              <w:rPr>
                <w:sz w:val="19"/>
                <w:szCs w:val="19"/>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52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operating leases included above primarily relate to office space. The table above does not include possible payments for uncertain tax positions. Our reserve for uncertain tax positions, including accrued interest and penalties, was $0.1 million as of March 31, 2025. Due to the nature of the underlying liabilities and the extended time often needed to resolve income tax uncertainties, we cannot make reliable estimates of the amount or timing of future cash payments that may be required to settle these liabilities. The table above also does not include those obligations for royalties under license agreements as these royalties are calculated based on future sales of licensed products and we cannot make reliable estimates of the amount of cash payments.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and foreign currency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amounts borrowed under the Credit Facility. As of March 31, 2025, we had $71.0 million outstanding under our Revolving Loan. 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(1) BMO’s prime rate, (2) the rate determined by BMO to be the average rate of Federal funds in the secondary market plus 0.50%, or (3) one-month SOFR plus 1.00%. The applicable margin for loans under the Credit Facility is in a range of 1.75 to 2.75% for Term SOFR loans and 0.75% to 1.75% for base rate loans, depending on Digi’s total net leverage ratio.</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initial borrowings were made at Term SOFR for a one-month interest period plus an applicable margin of 2.50%. Our weighted average interest rate for our Credit Facility as of March 31, 2025 was 6.10%.</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Digi bases the interest period election described above on an assessment of the interest rate environment conducted on a monthly basis. Based on the balance sheet position for the Revolving Loan at March 31, 2025, the annualized effect of a 25 basis point change in interest rates would increase or decrease our interest expense by $0.2 million. For additional information,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10% change in the average exchange rate for the Euro, British Pound, Australian Dollar and Canadian Dollar to the U.S. Dollar during the first six months of fiscal 2025 would have resulted in a 0.9% increase or decrease in stockholders' equity due to foreign currency translation.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INTERNAL CONTROL OVER FINANCIAL REPORTING</w:t>
      </w:r>
    </w:p>
    <w:p>
      <w:pPr>
        <w:spacing w:after="0" w:line="1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six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 xml:space="preserve">The disclosure set forth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to the condensed consolidated financial statements in Part I, Item 1 of this Form 10-Q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below, there have been no material changes in our risk factors from those previously disclosed in Item 1A of Part I of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September 30, 2024.</w:t>
      </w:r>
    </w:p>
    <w:p>
      <w:pPr>
        <w:spacing w:after="0" w:line="17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i w:val="1"/>
          <w:iCs w:val="1"/>
          <w:color w:val="auto"/>
        </w:rPr>
        <w:t>Our dependence on new product development, rapid technological change, competitors’ product introductions and enhancements, and regulatory changes make us susceptible to potential fluctuations in demand or loss of market share for our products.</w:t>
      </w:r>
    </w:p>
    <w:p>
      <w:pPr>
        <w:spacing w:after="0" w:line="18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Our industry is characterized by rapidly changing technologies, evolving industry standards, frequent new product introductions, short product life cycles in certain instances and rapidly changing customer requirements. One example of new technology that could impact the markets in which we sell products</w:t>
      </w:r>
    </w:p>
    <w:p>
      <w:pPr>
        <w:ind w:right="40"/>
        <w:spacing w:after="0" w:line="245" w:lineRule="auto"/>
        <w:rPr>
          <w:sz w:val="20"/>
          <w:szCs w:val="20"/>
          <w:color w:val="auto"/>
        </w:rPr>
      </w:pPr>
      <w:r>
        <w:rPr>
          <w:rFonts w:ascii="Times New Roman" w:cs="Times New Roman" w:eastAsia="Times New Roman" w:hAnsi="Times New Roman"/>
          <w:sz w:val="18"/>
          <w:szCs w:val="18"/>
          <w:color w:val="auto"/>
        </w:rPr>
        <w:t>and customer requirements could be the introduction of artificial intelligence features into products or solutions offerings. The introduction of products and enhancements embodying new technologies, whether via competitors’ products or just changes in markets where we sell products because of other changes in technology more generally, can disrupt one or more markets in which we compete. In addition, the emergence of new or changed industry standards or regulations impacting our industry can also cause demand for our products to fluctuate or render our products obsolete or unmarketable.</w:t>
      </w:r>
    </w:p>
    <w:p>
      <w:pPr>
        <w:spacing w:after="0" w:line="20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future success will depend on our ability to enhance our existing products, to introduce new products to meet changing customer requirements and emerging technologies as well as potential regulatory changes, and to demonstrate the performance advantages and cost-effectiveness of our products over competing products. This could be impacted not only by the features we offer in our products, but also by our ability to operate efficiently relative to those</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with whom we compete. For instance, if competitors with more resources than us are able to deploy efficiency enhancements into their operations more quickly than us (whether via significant investments in artificial intelligence or otherwise) they may be better positioned than us to more quickly enhance</w:t>
      </w:r>
    </w:p>
    <w:p>
      <w:pPr>
        <w:ind w:right="80"/>
        <w:spacing w:after="0"/>
        <w:rPr>
          <w:sz w:val="20"/>
          <w:szCs w:val="20"/>
          <w:color w:val="auto"/>
        </w:rPr>
      </w:pPr>
      <w:r>
        <w:rPr>
          <w:rFonts w:ascii="Times New Roman" w:cs="Times New Roman" w:eastAsia="Times New Roman" w:hAnsi="Times New Roman"/>
          <w:sz w:val="18"/>
          <w:szCs w:val="18"/>
          <w:color w:val="auto"/>
        </w:rPr>
        <w:t>existing products or introduce new products that meet customer requirements or market demands. Failure by us to modify our products to support new alternative technologies or failure to achieve widespread customer acceptance of such modified products could cause us to lose market share and cause our revenue to decline. Further, if our competitors offer better service capabilities associated with the implementation and use of their products, our business could be impacted negatively.</w:t>
      </w:r>
    </w:p>
    <w:p>
      <w:pPr>
        <w:spacing w:after="0" w:line="21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may experience delays in developing and marketing product enhancements or new products that respond to technological change, evolving industry standards or regulations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meet the requirements of the marketplace adequately and achieve any significant or sustainable degree of market acceptance in existing or additional markets. Further, demand for products can fluctuate because of changes in technology generally which could also impact our sales of products. In addition, the future introductions or announcements of products by us or one of our competitors embodying new technologies or changes in industry standards or regulations or customer requirements could render our then-existing products obsolete or unmarketable. This risk may become more pronounced as new competitors emerge in markets where we sell our products, especially if these competitors have more resources than us to develop and market new products and technologies and provide related services. There can be no assurance that the introduction or announcement of new technologies into markets where we sell products or the introduction or announcement of product offerings by us or one or more of our competitors will not cause customers to defer their purchase of our existing products, which could cause our revenue to decline.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new or incremental international tariffs could materially and adversely affect our business and results of operations.</w:t>
      </w:r>
    </w:p>
    <w:p>
      <w:pPr>
        <w:spacing w:after="0" w:line="2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Due to the global reach of our operations, changes in international trade policy could result in an adverse effect on our results of operations, financial condition and cash flows. Additional or new tariffs imposed by various governments globally have the potential to disrupt existing supply chains and impose additional costs on our business. Existing and future retaliatory trade actions imposed by other governments, as well as possible price increases we may elect to charge, could make our products more expensive for customers, and, in turn, could make our products less competitive. Any existing or new, substantial tariff increases on imports within our supply chain or involving countries in which our contract manufacturers are located, should they be implemented and sustained for an extended period of time, could have a significant adverse effect on our business and our supply chain.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or any "affiliated purchaser" (as defined in Rule 10b-18(a)(3) under the Exchange Act), of our common stock during the second quarter of fiscal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89"/>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29"/>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Purchased</w:t>
            </w:r>
            <w:r>
              <w:rPr>
                <w:rFonts w:ascii="Times New Roman" w:cs="Times New Roman" w:eastAsia="Times New Roman" w:hAnsi="Times New Roman"/>
                <w:sz w:val="23"/>
                <w:szCs w:val="23"/>
                <w:color w:val="auto"/>
                <w:w w:val="93"/>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 shares reported were forfeited by employees in connection with the satisfaction of tax withholding obligations related to the vesting of restricted stock units.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Actor any non-Rule 10b5-1 trading arrangement (as defined in Item 408(c) of Regulation S-K).</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05"/>
        </w:trPr>
        <w:tc>
          <w:tcPr>
            <w:tcW w:w="17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Exhibit No.</w:t>
            </w:r>
          </w:p>
        </w:tc>
        <w:tc>
          <w:tcPr>
            <w:tcW w:w="7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169"/>
        </w:trPr>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34"/>
        </w:trPr>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6"/>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 xml:space="preserve">Amended and Restated By-Laws of the Company </w:t>
              </w:r>
            </w:hyperlink>
            <w:r>
              <w:rPr>
                <w:rFonts w:ascii="Times New Roman" w:cs="Times New Roman" w:eastAsia="Times New Roman" w:hAnsi="Times New Roman"/>
                <w:sz w:val="18"/>
                <w:szCs w:val="18"/>
                <w:color w:val="000000"/>
              </w:rPr>
              <w:t>(2)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r>
      <w:tr>
        <w:trPr>
          <w:trHeight w:val="214"/>
        </w:trPr>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238"/>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6"/>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 xml:space="preserve">Digi International Inc. 2021 Omnibus Incentive Plan (as amended and restated on February 3, 2025) </w:t>
              </w:r>
            </w:hyperlink>
            <w:r>
              <w:rPr>
                <w:rFonts w:ascii="Times New Roman" w:cs="Times New Roman" w:eastAsia="Times New Roman" w:hAnsi="Times New Roman"/>
                <w:sz w:val="18"/>
                <w:szCs w:val="18"/>
                <w:color w:val="000000"/>
              </w:rPr>
              <w:t>(3)</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r>
      <w:tr>
        <w:trPr>
          <w:trHeight w:val="214"/>
        </w:trPr>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44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r>
      <w:tr>
        <w:trPr>
          <w:trHeight w:val="238"/>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4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3080" w:type="dxa"/>
            <w:vAlign w:val="bottom"/>
            <w:gridSpan w:val="2"/>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3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43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24"/>
                <w:szCs w:val="24"/>
                <w:color w:val="auto"/>
              </w:rPr>
            </w:pPr>
          </w:p>
        </w:tc>
        <w:tc>
          <w:tcPr>
            <w:tcW w:w="4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Section 1350 Certification</w:t>
            </w:r>
          </w:p>
        </w:tc>
        <w:tc>
          <w:tcPr>
            <w:tcW w:w="3140" w:type="dxa"/>
            <w:vAlign w:val="bottom"/>
            <w:gridSpan w:val="3"/>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Furnished</w:t>
            </w:r>
          </w:p>
        </w:tc>
      </w:tr>
      <w:tr>
        <w:trPr>
          <w:trHeight w:val="214"/>
        </w:trPr>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Electronically</w:t>
            </w:r>
          </w:p>
        </w:tc>
      </w:tr>
      <w:tr>
        <w:trPr>
          <w:trHeight w:val="40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r>
      <w:tr>
        <w:trPr>
          <w:trHeight w:val="204"/>
        </w:trPr>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ended March 31, 2025, as filed with the Security and Exchange Commission, formatted in iXBRL (Inline</w:t>
            </w:r>
          </w:p>
        </w:tc>
        <w:tc>
          <w:tcPr>
            <w:tcW w:w="1540" w:type="dxa"/>
            <w:vAlign w:val="bottom"/>
          </w:tcPr>
          <w:p>
            <w:pPr>
              <w:spacing w:after="0"/>
              <w:rPr>
                <w:sz w:val="17"/>
                <w:szCs w:val="17"/>
                <w:color w:val="auto"/>
              </w:rPr>
            </w:pPr>
          </w:p>
        </w:tc>
      </w:tr>
    </w:tbl>
    <w:p>
      <w:pPr>
        <w:ind w:left="1720" w:right="1640"/>
        <w:spacing w:after="0" w:line="220" w:lineRule="auto"/>
        <w:rPr>
          <w:sz w:val="20"/>
          <w:szCs w:val="20"/>
          <w:color w:val="auto"/>
        </w:rPr>
      </w:pPr>
      <w:r>
        <w:rPr>
          <w:rFonts w:ascii="Times New Roman" w:cs="Times New Roman" w:eastAsia="Times New Roman" w:hAnsi="Times New Roman"/>
          <w:sz w:val="17"/>
          <w:szCs w:val="17"/>
          <w:color w:val="auto"/>
        </w:rPr>
        <w:t>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w:t>
      </w:r>
    </w:p>
    <w:p>
      <w:pPr>
        <w:spacing w:after="0" w:line="2" w:lineRule="exact"/>
        <w:rPr>
          <w:sz w:val="20"/>
          <w:szCs w:val="20"/>
          <w:color w:val="auto"/>
        </w:rPr>
      </w:pPr>
    </w:p>
    <w:p>
      <w:pPr>
        <w:ind w:left="1720" w:right="2000"/>
        <w:spacing w:after="0" w:line="226" w:lineRule="auto"/>
        <w:rPr>
          <w:sz w:val="20"/>
          <w:szCs w:val="20"/>
          <w:color w:val="auto"/>
        </w:rPr>
      </w:pPr>
      <w:r>
        <w:rPr>
          <w:rFonts w:ascii="Times New Roman" w:cs="Times New Roman" w:eastAsia="Times New Roman" w:hAnsi="Times New Roman"/>
          <w:sz w:val="18"/>
          <w:szCs w:val="18"/>
          <w:color w:val="auto"/>
        </w:rPr>
        <w:t>Stockholders' Equity; (vi) the Notes to the Condensed Consolidated Financial Statements; and (vii) the information set forth in Part II, Item 5.</w:t>
      </w:r>
    </w:p>
    <w:p>
      <w:pPr>
        <w:spacing w:after="0" w:line="225" w:lineRule="exact"/>
        <w:rPr>
          <w:sz w:val="20"/>
          <w:szCs w:val="20"/>
          <w:color w:val="auto"/>
        </w:rPr>
      </w:pPr>
    </w:p>
    <w:p>
      <w:pPr>
        <w:ind w:left="1720" w:right="2280" w:hanging="1095"/>
        <w:spacing w:after="0" w:line="237" w:lineRule="auto"/>
        <w:tabs>
          <w:tab w:leader="none" w:pos="1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Digi International Inc.'s Quarterly Report on Form 10-Q for the period ended March 31, 2025 is formatted in iXBRL (included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Exhibit 3(a) to the Company's Annual Report on Form 10-K for the year ended September 30, 1993.</w:t>
      </w:r>
    </w:p>
    <w:p>
      <w:pPr>
        <w:spacing w:after="0" w:line="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on April 30, 2020.</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the Company's Quarterly Report on Form 10-Q filed on February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12"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James J. Loch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00"/>
          </w:cols>
          <w:pgMar w:left="320" w:top="121" w:right="11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Digi International Inc. (the Registrant) on Form 10-Q for the fiscal quarter ended March 31, 2025 as filed with the Securities and Exchange Commission on the date hereof, each of the undersigned certifies, pursuant to 18 U.S.C. §1350, as adopted pursuant to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760" w:firstLine="8"/>
        <w:spacing w:after="0" w:line="282" w:lineRule="auto"/>
        <w:tabs>
          <w:tab w:leader="none" w:pos="2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2025</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6518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amp;"/>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04"/>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5"/>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18" Type="http://schemas.openxmlformats.org/officeDocument/2006/relationships/hyperlink" Target="https://www.sec.gov/ix?doc=/Archives/edgar/data/0000854775/000085477524000033/dgii-20240930.htm" TargetMode="External"/><Relationship Id="rId47" Type="http://schemas.openxmlformats.org/officeDocument/2006/relationships/hyperlink" Target="https://www.sec.gov/Archives/edgar/data/854775/000110465920054438/tm2018116d1_ex3-1.htm" TargetMode="External"/><Relationship Id="rId48" Type="http://schemas.openxmlformats.org/officeDocument/2006/relationships/hyperlink" Target="https://www.sec.gov/Archives/edgar/data/854775/000085477525000006/dgii-ex10a_20241231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2025-05-07T15:24:08Z</dcterms:created>
  <dcterms:modified xsi:type="dcterms:W3CDTF">2025-05-07T15:24:08Z</dcterms:modified>
</cp:coreProperties>
</file>