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0" w:lineRule="exact"/>
        <w:rPr>
          <w:sz w:val="24"/>
          <w:szCs w:val="24"/>
          <w:color w:val="auto"/>
        </w:rPr>
      </w:pPr>
    </w:p>
    <w:p>
      <w:pPr>
        <w:spacing w:after="0" w:line="268" w:lineRule="exact"/>
        <w:rPr>
          <w:sz w:val="24"/>
          <w:szCs w:val="24"/>
          <w:color w:val="auto"/>
        </w:rPr>
      </w:pPr>
    </w:p>
    <w:p>
      <w:pPr>
        <w:ind w:left="400" w:hanging="338"/>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 (d)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ind w:left="400" w:hanging="338"/>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 (d) OF THE SECURITIES EXCHANGE ACT OF 1934</w:t>
      </w:r>
    </w:p>
    <w:p>
      <w:pPr>
        <w:spacing w:after="0" w:line="100"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58"/>
        </w:trPr>
        <w:tc>
          <w:tcPr>
            <w:tcW w:w="3620" w:type="dxa"/>
            <w:vAlign w:val="bottom"/>
            <w:gridSpan w:val="4"/>
          </w:tcPr>
          <w:p>
            <w:pPr>
              <w:ind w:left="760"/>
              <w:spacing w:after="0"/>
              <w:rPr>
                <w:sz w:val="20"/>
                <w:szCs w:val="20"/>
                <w:color w:val="auto"/>
              </w:rPr>
            </w:pPr>
            <w:r>
              <w:rPr>
                <w:rFonts w:ascii="Arial" w:cs="Arial" w:eastAsia="Arial" w:hAnsi="Arial"/>
                <w:sz w:val="16"/>
                <w:szCs w:val="16"/>
                <w:b w:val="1"/>
                <w:bCs w:val="1"/>
                <w:color w:val="auto"/>
              </w:rPr>
              <w:t>Commission file number: 001-34033</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63500</wp:posOffset>
            </wp:positionV>
            <wp:extent cx="101155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DIGI INTERNATIONAL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280" w:type="dxa"/>
            <w:vAlign w:val="bottom"/>
            <w:gridSpan w:val="2"/>
          </w:tcPr>
          <w:p>
            <w:pPr>
              <w:spacing w:after="0"/>
              <w:rPr>
                <w:sz w:val="18"/>
                <w:szCs w:val="18"/>
                <w:color w:val="auto"/>
              </w:rPr>
            </w:pPr>
          </w:p>
        </w:tc>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41-1532464</w:t>
            </w:r>
          </w:p>
        </w:tc>
      </w:tr>
      <w:tr>
        <w:trPr>
          <w:trHeight w:val="206"/>
        </w:trPr>
        <w:tc>
          <w:tcPr>
            <w:tcW w:w="5760" w:type="dxa"/>
            <w:vAlign w:val="bottom"/>
            <w:gridSpan w:val="3"/>
          </w:tcPr>
          <w:p>
            <w:pPr>
              <w:jc w:val="center"/>
              <w:ind w:right="28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6"/>
                <w:szCs w:val="16"/>
                <w:color w:val="auto"/>
                <w:w w:val="94"/>
              </w:rPr>
              <w:t>(I.R.S. Employer Identification Number)</w:t>
            </w:r>
          </w:p>
        </w:tc>
      </w:tr>
      <w:tr>
        <w:trPr>
          <w:trHeight w:val="324"/>
        </w:trPr>
        <w:tc>
          <w:tcPr>
            <w:tcW w:w="5760" w:type="dxa"/>
            <w:vAlign w:val="bottom"/>
            <w:gridSpan w:val="3"/>
          </w:tcPr>
          <w:p>
            <w:pPr>
              <w:ind w:left="1340"/>
              <w:spacing w:after="0"/>
              <w:rPr>
                <w:sz w:val="20"/>
                <w:szCs w:val="20"/>
                <w:color w:val="auto"/>
              </w:rPr>
            </w:pPr>
            <w:r>
              <w:rPr>
                <w:rFonts w:ascii="Arial" w:cs="Arial" w:eastAsia="Arial" w:hAnsi="Arial"/>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500" w:type="dxa"/>
            <w:vAlign w:val="bottom"/>
            <w:tcBorders>
              <w:bottom w:val="single" w:sz="8" w:color="auto"/>
            </w:tcBorders>
            <w:gridSpan w:val="2"/>
          </w:tcPr>
          <w:p>
            <w:pPr>
              <w:ind w:left="2160"/>
              <w:spacing w:after="0"/>
              <w:rPr>
                <w:sz w:val="20"/>
                <w:szCs w:val="20"/>
                <w:color w:val="auto"/>
              </w:rPr>
            </w:pPr>
            <w:r>
              <w:rPr>
                <w:rFonts w:ascii="Arial" w:cs="Arial" w:eastAsia="Arial" w:hAnsi="Arial"/>
                <w:sz w:val="16"/>
                <w:szCs w:val="16"/>
                <w:b w:val="1"/>
                <w:bCs w:val="1"/>
                <w:color w:val="auto"/>
              </w:rPr>
              <w:t>Hopkins Minnesota</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55343</w:t>
            </w:r>
          </w:p>
        </w:tc>
      </w:tr>
      <w:tr>
        <w:trPr>
          <w:trHeight w:val="207"/>
        </w:trPr>
        <w:tc>
          <w:tcPr>
            <w:tcW w:w="5760" w:type="dxa"/>
            <w:vAlign w:val="bottom"/>
            <w:gridSpan w:val="3"/>
          </w:tcPr>
          <w:p>
            <w:pPr>
              <w:jc w:val="center"/>
              <w:ind w:right="240"/>
              <w:spacing w:after="0"/>
              <w:rPr>
                <w:sz w:val="20"/>
                <w:szCs w:val="20"/>
                <w:color w:val="auto"/>
              </w:rPr>
            </w:pPr>
            <w:r>
              <w:rPr>
                <w:rFonts w:ascii="Arial" w:cs="Arial" w:eastAsia="Arial" w:hAnsi="Arial"/>
                <w:sz w:val="16"/>
                <w:szCs w:val="16"/>
                <w:color w:val="auto"/>
                <w:w w:val="93"/>
              </w:rPr>
              <w:t>(Address of principal executive offices)</w:t>
            </w:r>
          </w:p>
        </w:tc>
        <w:tc>
          <w:tcPr>
            <w:tcW w:w="2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912-3444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36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90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327"/>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24"/>
                <w:szCs w:val="24"/>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100" w:type="dxa"/>
            <w:vAlign w:val="bottom"/>
          </w:tcPr>
          <w:p>
            <w:pPr>
              <w:spacing w:after="0"/>
              <w:rPr>
                <w:sz w:val="24"/>
                <w:szCs w:val="24"/>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39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par value $.01 per share</w:t>
            </w:r>
          </w:p>
        </w:tc>
        <w:tc>
          <w:tcPr>
            <w:tcW w:w="3260" w:type="dxa"/>
            <w:vAlign w:val="bottom"/>
            <w:gridSpan w:val="2"/>
          </w:tcPr>
          <w:p>
            <w:pPr>
              <w:jc w:val="center"/>
              <w:ind w:right="80"/>
              <w:spacing w:after="0"/>
              <w:rPr>
                <w:sz w:val="20"/>
                <w:szCs w:val="20"/>
                <w:color w:val="auto"/>
              </w:rPr>
            </w:pPr>
            <w:r>
              <w:rPr>
                <w:rFonts w:ascii="Arial" w:cs="Arial" w:eastAsia="Arial" w:hAnsi="Arial"/>
                <w:sz w:val="16"/>
                <w:szCs w:val="16"/>
                <w:color w:val="auto"/>
              </w:rPr>
              <w:t>DGII</w:t>
            </w:r>
          </w:p>
        </w:tc>
        <w:tc>
          <w:tcPr>
            <w:tcW w:w="40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04"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right="2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5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1" w:lineRule="exact"/>
        <w:rPr>
          <w:sz w:val="24"/>
          <w:szCs w:val="24"/>
          <w:color w:val="auto"/>
        </w:rPr>
      </w:pPr>
    </w:p>
    <w:p>
      <w:pPr>
        <w:ind w:right="3660"/>
        <w:spacing w:after="0" w:line="26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On August 6, 2021, there were 34,110,994 shares of the registrant's $.01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INDEX</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rPr>
              <w:t>Page</w:t>
            </w:r>
          </w:p>
        </w:tc>
      </w:tr>
      <w:tr>
        <w:trPr>
          <w:trHeight w:val="183"/>
        </w:trPr>
        <w:tc>
          <w:tcPr>
            <w:tcW w:w="9860" w:type="dxa"/>
            <w:vAlign w:val="bottom"/>
            <w:gridSpan w:val="18"/>
          </w:tcPr>
          <w:p>
            <w:pPr>
              <w:spacing w:after="0" w:line="182"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2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ITEM 1. Unaudited Financial Statements:</w:t>
              </w:r>
            </w:hyperlink>
          </w:p>
        </w:tc>
        <w:tc>
          <w:tcPr>
            <w:tcW w:w="68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3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51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Comprehensive Income (Loss)</w:t>
              </w:r>
            </w:hyperlink>
          </w:p>
        </w:tc>
        <w:tc>
          <w:tcPr>
            <w:tcW w:w="464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3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3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w:t>
              </w:r>
            </w:hyperlink>
          </w:p>
        </w:tc>
        <w:tc>
          <w:tcPr>
            <w:tcW w:w="13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64"/>
        </w:trPr>
        <w:tc>
          <w:tcPr>
            <w:tcW w:w="120" w:type="dxa"/>
            <w:vAlign w:val="bottom"/>
          </w:tcPr>
          <w:p>
            <w:pPr>
              <w:spacing w:after="0"/>
              <w:rPr>
                <w:sz w:val="22"/>
                <w:szCs w:val="22"/>
                <w:color w:val="auto"/>
              </w:rPr>
            </w:pPr>
          </w:p>
        </w:tc>
        <w:tc>
          <w:tcPr>
            <w:tcW w:w="4400" w:type="dxa"/>
            <w:vAlign w:val="bottom"/>
            <w:tcBorders>
              <w:top w:val="single" w:sz="8" w:color="0000FF"/>
            </w:tcBorders>
            <w:gridSpan w:val="13"/>
          </w:tcPr>
          <w:p>
            <w:pPr>
              <w:spacing w:after="0"/>
              <w:rPr>
                <w:rFonts w:ascii="Arial" w:cs="Arial" w:eastAsia="Arial" w:hAnsi="Arial"/>
                <w:sz w:val="18"/>
                <w:szCs w:val="18"/>
                <w:color w:val="0000FF"/>
                <w:w w:val="97"/>
              </w:rPr>
            </w:pPr>
            <w:hyperlink w:anchor="page8">
              <w:r>
                <w:rPr>
                  <w:rFonts w:ascii="Arial" w:cs="Arial" w:eastAsia="Arial" w:hAnsi="Arial"/>
                  <w:sz w:val="18"/>
                  <w:szCs w:val="18"/>
                  <w:color w:val="0000FF"/>
                  <w:w w:val="97"/>
                </w:rPr>
                <w:t>Notes to Condensed Consolidated Financial Statements</w:t>
              </w:r>
            </w:hyperlink>
          </w:p>
        </w:tc>
        <w:tc>
          <w:tcPr>
            <w:tcW w:w="5340" w:type="dxa"/>
            <w:vAlign w:val="bottom"/>
            <w:gridSpan w:val="4"/>
          </w:tcPr>
          <w:p>
            <w:pPr>
              <w:spacing w:after="0"/>
              <w:rPr>
                <w:sz w:val="22"/>
                <w:szCs w:val="22"/>
                <w:color w:val="auto"/>
              </w:rPr>
            </w:pPr>
          </w:p>
        </w:tc>
        <w:tc>
          <w:tcPr>
            <w:tcW w:w="122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860" w:type="dxa"/>
            <w:vAlign w:val="bottom"/>
            <w:gridSpan w:val="1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 Management’s Discussion and Analysis of Financial Condition and Results of Operations</w:t>
              </w:r>
            </w:hyperlink>
          </w:p>
        </w:tc>
        <w:tc>
          <w:tcPr>
            <w:tcW w:w="132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5"/>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ITEM 3. Quantitative and Qualitative Disclosures About Market Risk</w:t>
              </w:r>
            </w:hyperlink>
          </w:p>
        </w:tc>
        <w:tc>
          <w:tcPr>
            <w:tcW w:w="2100" w:type="dxa"/>
            <w:vAlign w:val="bottom"/>
            <w:gridSpan w:val="2"/>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ITEM 4. Controls and Procedures</w:t>
              </w:r>
            </w:hyperlink>
          </w:p>
        </w:tc>
        <w:tc>
          <w:tcPr>
            <w:tcW w:w="2580" w:type="dxa"/>
            <w:vAlign w:val="bottom"/>
            <w:gridSpan w:val="10"/>
          </w:tcPr>
          <w:p>
            <w:pPr>
              <w:spacing w:after="0"/>
              <w:rPr>
                <w:sz w:val="24"/>
                <w:szCs w:val="24"/>
                <w:color w:val="auto"/>
              </w:rPr>
            </w:pPr>
          </w:p>
        </w:tc>
        <w:tc>
          <w:tcPr>
            <w:tcW w:w="4840" w:type="dxa"/>
            <w:vAlign w:val="bottom"/>
            <w:gridSpan w:val="3"/>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5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PART II. OTHER INFORMATION</w:t>
              </w:r>
            </w:hyperlink>
          </w:p>
        </w:tc>
        <w:tc>
          <w:tcPr>
            <w:tcW w:w="728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86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 Legal Proceedings</w:t>
              </w:r>
            </w:hyperlink>
          </w:p>
        </w:tc>
        <w:tc>
          <w:tcPr>
            <w:tcW w:w="132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98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1A. Risk Factors</w:t>
              </w:r>
            </w:hyperlink>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5"/>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2. Unregistered Sales of Equity Securities and Use of Proceeds</w:t>
              </w:r>
            </w:hyperlink>
          </w:p>
        </w:tc>
        <w:tc>
          <w:tcPr>
            <w:tcW w:w="4840" w:type="dxa"/>
            <w:vAlign w:val="bottom"/>
            <w:gridSpan w:val="3"/>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00" w:type="dxa"/>
            <w:vAlign w:val="bottom"/>
            <w:gridSpan w:val="8"/>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ITEM 3. Defaults Upon Senior Securities</w:t>
              </w:r>
            </w:hyperlink>
          </w:p>
        </w:tc>
        <w:tc>
          <w:tcPr>
            <w:tcW w:w="2020" w:type="dxa"/>
            <w:vAlign w:val="bottom"/>
            <w:gridSpan w:val="7"/>
          </w:tcPr>
          <w:p>
            <w:pPr>
              <w:spacing w:after="0"/>
              <w:rPr>
                <w:sz w:val="24"/>
                <w:szCs w:val="24"/>
                <w:color w:val="auto"/>
              </w:rPr>
            </w:pPr>
          </w:p>
        </w:tc>
        <w:tc>
          <w:tcPr>
            <w:tcW w:w="4840" w:type="dxa"/>
            <w:vAlign w:val="bottom"/>
            <w:gridSpan w:val="3"/>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ITEM 4. Mine Safety Disclosures</w:t>
              </w:r>
            </w:hyperlink>
          </w:p>
        </w:tc>
        <w:tc>
          <w:tcPr>
            <w:tcW w:w="560" w:type="dxa"/>
            <w:vAlign w:val="bottom"/>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5. Other Information</w:t>
              </w:r>
            </w:hyperlink>
          </w:p>
        </w:tc>
        <w:tc>
          <w:tcPr>
            <w:tcW w:w="7420" w:type="dxa"/>
            <w:vAlign w:val="bottom"/>
            <w:gridSpan w:val="13"/>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ITEM 6. Exhibits</w:t>
              </w:r>
            </w:hyperlink>
          </w:p>
        </w:tc>
        <w:tc>
          <w:tcPr>
            <w:tcW w:w="700" w:type="dxa"/>
            <w:vAlign w:val="bottom"/>
            <w:gridSpan w:val="2"/>
          </w:tcPr>
          <w:p>
            <w:pPr>
              <w:spacing w:after="0"/>
              <w:rPr>
                <w:sz w:val="24"/>
                <w:szCs w:val="24"/>
                <w:color w:val="auto"/>
              </w:rPr>
            </w:pP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70"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tcPr>
          <w:p>
            <w:pPr>
              <w:spacing w:after="0"/>
              <w:rPr>
                <w:sz w:val="18"/>
                <w:szCs w:val="18"/>
                <w:color w:val="auto"/>
              </w:rPr>
            </w:pPr>
          </w:p>
        </w:tc>
        <w:tc>
          <w:tcPr>
            <w:tcW w:w="2980" w:type="dxa"/>
            <w:vAlign w:val="bottom"/>
            <w:gridSpan w:val="6"/>
          </w:tcPr>
          <w:p>
            <w:pPr>
              <w:ind w:left="480"/>
              <w:spacing w:after="0"/>
              <w:rPr>
                <w:sz w:val="20"/>
                <w:szCs w:val="20"/>
                <w:color w:val="auto"/>
              </w:rPr>
            </w:pPr>
            <w:r>
              <w:rPr>
                <w:rFonts w:ascii="Arial" w:cs="Arial" w:eastAsia="Arial" w:hAnsi="Arial"/>
                <w:sz w:val="16"/>
                <w:szCs w:val="16"/>
                <w:color w:val="auto"/>
              </w:rPr>
              <w:t>Three months ended June 30,</w:t>
            </w:r>
          </w:p>
        </w:tc>
        <w:tc>
          <w:tcPr>
            <w:tcW w:w="300" w:type="dxa"/>
            <w:vAlign w:val="bottom"/>
          </w:tcPr>
          <w:p>
            <w:pPr>
              <w:spacing w:after="0"/>
              <w:rPr>
                <w:sz w:val="18"/>
                <w:szCs w:val="18"/>
                <w:color w:val="auto"/>
              </w:rPr>
            </w:pPr>
          </w:p>
        </w:tc>
        <w:tc>
          <w:tcPr>
            <w:tcW w:w="2580" w:type="dxa"/>
            <w:vAlign w:val="bottom"/>
            <w:gridSpan w:val="4"/>
          </w:tcPr>
          <w:p>
            <w:pPr>
              <w:jc w:val="right"/>
              <w:ind w:right="439"/>
              <w:spacing w:after="0"/>
              <w:rPr>
                <w:sz w:val="20"/>
                <w:szCs w:val="20"/>
                <w:color w:val="auto"/>
              </w:rPr>
            </w:pPr>
            <w:r>
              <w:rPr>
                <w:rFonts w:ascii="Arial" w:cs="Arial" w:eastAsia="Arial" w:hAnsi="Arial"/>
                <w:sz w:val="16"/>
                <w:szCs w:val="16"/>
                <w:color w:val="auto"/>
                <w:w w:val="99"/>
              </w:rPr>
              <w:t>Nine months ended June 30,</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5"/>
          </w:tcPr>
          <w:p>
            <w:pPr>
              <w:ind w:left="80"/>
              <w:spacing w:after="0"/>
              <w:rPr>
                <w:sz w:val="20"/>
                <w:szCs w:val="20"/>
                <w:color w:val="auto"/>
              </w:rPr>
            </w:pPr>
            <w:r>
              <w:rPr>
                <w:rFonts w:ascii="Arial" w:cs="Arial" w:eastAsia="Arial" w:hAnsi="Arial"/>
                <w:sz w:val="16"/>
                <w:szCs w:val="16"/>
                <w:color w:val="auto"/>
              </w:rPr>
              <w:t>(in thousands, except per share data)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Arial" w:cs="Arial" w:eastAsia="Arial" w:hAnsi="Arial"/>
                <w:sz w:val="16"/>
                <w:szCs w:val="16"/>
                <w:color w:val="auto"/>
              </w:rPr>
              <w:t>Product</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68,303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62,807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197,831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182,695</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10,776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23,407</w:t>
            </w:r>
          </w:p>
        </w:tc>
        <w:tc>
          <w:tcPr>
            <w:tcW w:w="0" w:type="dxa"/>
            <w:vAlign w:val="bottom"/>
          </w:tcPr>
          <w:p>
            <w:pPr>
              <w:spacing w:after="0"/>
              <w:rPr>
                <w:sz w:val="1"/>
                <w:szCs w:val="1"/>
                <w:color w:val="auto"/>
              </w:rPr>
            </w:pPr>
          </w:p>
        </w:tc>
      </w:tr>
      <w:tr>
        <w:trPr>
          <w:trHeight w:val="206"/>
        </w:trPr>
        <w:tc>
          <w:tcPr>
            <w:tcW w:w="53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79,079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70,338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229,526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206,102</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Arial" w:cs="Arial" w:eastAsia="Arial" w:hAnsi="Arial"/>
                <w:sz w:val="16"/>
                <w:szCs w:val="16"/>
                <w:color w:val="auto"/>
              </w:rPr>
              <w:t>Cost of product</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31,477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91,747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86,937</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service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9,439</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sales</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36,523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32,989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99,648</w:t>
            </w:r>
          </w:p>
        </w:tc>
        <w:tc>
          <w:tcPr>
            <w:tcW w:w="0" w:type="dxa"/>
            <w:vAlign w:val="bottom"/>
          </w:tcPr>
          <w:p>
            <w:pPr>
              <w:spacing w:after="0"/>
              <w:rPr>
                <w:sz w:val="1"/>
                <w:szCs w:val="1"/>
                <w:color w:val="auto"/>
              </w:rPr>
            </w:pPr>
          </w:p>
        </w:tc>
      </w:tr>
      <w:tr>
        <w:trPr>
          <w:trHeight w:val="207"/>
        </w:trPr>
        <w:tc>
          <w:tcPr>
            <w:tcW w:w="5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42,556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37,349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124,031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106,454</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Arial" w:cs="Arial" w:eastAsia="Arial" w:hAnsi="Arial"/>
                <w:sz w:val="16"/>
                <w:szCs w:val="16"/>
                <w:color w:val="auto"/>
              </w:rPr>
              <w:t>Sales and marketing</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15,910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46,271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39,750</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32,755</w:t>
            </w: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34,701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27,724</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charge</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6"/>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38,538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34,494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116,789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100,358</w:t>
            </w: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w:t>
            </w: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(3,066)</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7"/>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 net</w:t>
            </w: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common share: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80" w:type="dxa"/>
            <w:vAlign w:val="bottom"/>
          </w:tcPr>
          <w:p>
            <w:pPr>
              <w:ind w:left="140"/>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common shares: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34,057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28,972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28,772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tcPr>
          <w:p>
            <w:pPr>
              <w:ind w:left="14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35,148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29,187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29,477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80" w:type="dxa"/>
            <w:vAlign w:val="bottom"/>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color w:val="auto"/>
                <w:w w:val="93"/>
              </w:rPr>
              <w:t>Nine months ended June 30,</w:t>
            </w:r>
          </w:p>
        </w:tc>
      </w:tr>
      <w:tr>
        <w:trPr>
          <w:trHeight w:val="209"/>
        </w:trPr>
        <w:tc>
          <w:tcPr>
            <w:tcW w:w="50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r>
      <w:tr>
        <w:trPr>
          <w:trHeight w:val="209"/>
        </w:trPr>
        <w:tc>
          <w:tcPr>
            <w:tcW w:w="5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w w:val="96"/>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Change in net unrealized gain on investments</w:t>
            </w:r>
          </w:p>
        </w:tc>
        <w:tc>
          <w:tcPr>
            <w:tcW w:w="9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Less income tax expense</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5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comprehensive income (loss)</w:t>
            </w:r>
          </w:p>
        </w:tc>
        <w:tc>
          <w:tcPr>
            <w:tcW w:w="9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2,068</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(1,107)</w:t>
            </w:r>
          </w:p>
        </w:tc>
      </w:tr>
      <w:tr>
        <w:trPr>
          <w:trHeight w:val="23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2,447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color w:val="auto"/>
              </w:rPr>
              <w:t>June 30, 2021</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2"/>
              </w:rPr>
              <w:t>September 30, 2020</w:t>
            </w:r>
          </w:p>
        </w:tc>
      </w:tr>
      <w:tr>
        <w:trPr>
          <w:trHeight w:val="196"/>
        </w:trPr>
        <w:tc>
          <w:tcPr>
            <w:tcW w:w="7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4"/>
          </w:tcPr>
          <w:p>
            <w:pPr>
              <w:jc w:val="right"/>
              <w:ind w:right="624"/>
              <w:spacing w:after="0"/>
              <w:rPr>
                <w:sz w:val="20"/>
                <w:szCs w:val="20"/>
                <w:color w:val="auto"/>
              </w:rPr>
            </w:pPr>
            <w:r>
              <w:rPr>
                <w:rFonts w:ascii="Arial" w:cs="Arial" w:eastAsia="Arial" w:hAnsi="Arial"/>
                <w:sz w:val="15"/>
                <w:szCs w:val="15"/>
                <w:color w:val="auto"/>
              </w:rPr>
              <w:t>(in thousands, except share data)</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7"/>
        </w:trPr>
        <w:tc>
          <w:tcPr>
            <w:tcW w:w="7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146,942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54,129</w:t>
            </w:r>
          </w:p>
        </w:tc>
      </w:tr>
      <w:tr>
        <w:trPr>
          <w:trHeight w:val="198"/>
        </w:trPr>
        <w:tc>
          <w:tcPr>
            <w:tcW w:w="7800" w:type="dxa"/>
            <w:vAlign w:val="bottom"/>
          </w:tcPr>
          <w:p>
            <w:pPr>
              <w:ind w:left="14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41,276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59,227</w:t>
            </w:r>
          </w:p>
        </w:tc>
      </w:tr>
      <w:tr>
        <w:trPr>
          <w:trHeight w:val="207"/>
        </w:trPr>
        <w:tc>
          <w:tcPr>
            <w:tcW w:w="7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51,568</w:t>
            </w:r>
          </w:p>
        </w:tc>
      </w:tr>
      <w:tr>
        <w:trPr>
          <w:trHeight w:val="198"/>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current assets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10,833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5,134</w:t>
            </w:r>
          </w:p>
        </w:tc>
      </w:tr>
      <w:tr>
        <w:trPr>
          <w:trHeight w:val="200"/>
        </w:trPr>
        <w:tc>
          <w:tcPr>
            <w:tcW w:w="7800" w:type="dxa"/>
            <w:vAlign w:val="bottom"/>
            <w:shd w:val="clear" w:color="auto" w:fill="CCEEFF"/>
          </w:tcPr>
          <w:p>
            <w:pPr>
              <w:ind w:left="560"/>
              <w:spacing w:after="0"/>
              <w:rPr>
                <w:sz w:val="20"/>
                <w:szCs w:val="20"/>
                <w:color w:val="auto"/>
              </w:rPr>
            </w:pPr>
            <w:r>
              <w:rPr>
                <w:rFonts w:ascii="Arial" w:cs="Arial" w:eastAsia="Arial" w:hAnsi="Arial"/>
                <w:sz w:val="15"/>
                <w:szCs w:val="15"/>
                <w:color w:val="auto"/>
              </w:rPr>
              <w:t>Total current assets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246,314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170,058</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Property, equipment and improvements, net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12,559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11,507</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14,334</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114,982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121,248</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221,331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210,135</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Deferred tax assets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389</w:t>
            </w: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1,011</w:t>
            </w:r>
          </w:p>
        </w:tc>
      </w:tr>
      <w:tr>
        <w:trPr>
          <w:trHeight w:val="200"/>
        </w:trPr>
        <w:tc>
          <w:tcPr>
            <w:tcW w:w="7800" w:type="dxa"/>
            <w:vAlign w:val="bottom"/>
          </w:tcPr>
          <w:p>
            <w:pPr>
              <w:ind w:left="560"/>
              <w:spacing w:after="0"/>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613,051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528,682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 AND STOCKHOLDERS' EQUITY</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7"/>
        </w:trPr>
        <w:tc>
          <w:tcPr>
            <w:tcW w:w="7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portion of long-term debt</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1,972</w:t>
            </w:r>
          </w:p>
        </w:tc>
      </w:tr>
      <w:tr>
        <w:trPr>
          <w:trHeight w:val="198"/>
        </w:trPr>
        <w:tc>
          <w:tcPr>
            <w:tcW w:w="780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18,840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28,067</w:t>
            </w:r>
          </w:p>
        </w:tc>
      </w:tr>
      <w:tr>
        <w:trPr>
          <w:trHeight w:val="207"/>
        </w:trPr>
        <w:tc>
          <w:tcPr>
            <w:tcW w:w="7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compensation</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9,372</w:t>
            </w:r>
          </w:p>
        </w:tc>
      </w:tr>
      <w:tr>
        <w:trPr>
          <w:trHeight w:val="198"/>
        </w:trPr>
        <w:tc>
          <w:tcPr>
            <w:tcW w:w="7800" w:type="dxa"/>
            <w:vAlign w:val="bottom"/>
          </w:tcPr>
          <w:p>
            <w:pPr>
              <w:ind w:left="140"/>
              <w:spacing w:after="0"/>
              <w:rPr>
                <w:sz w:val="20"/>
                <w:szCs w:val="20"/>
                <w:color w:val="auto"/>
              </w:rPr>
            </w:pPr>
            <w:r>
              <w:rPr>
                <w:rFonts w:ascii="Arial" w:cs="Arial" w:eastAsia="Arial" w:hAnsi="Arial"/>
                <w:sz w:val="15"/>
                <w:szCs w:val="15"/>
                <w:color w:val="auto"/>
              </w:rPr>
              <w:t>Unearned revenue</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13,047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7,691</w:t>
            </w:r>
          </w:p>
        </w:tc>
      </w:tr>
      <w:tr>
        <w:trPr>
          <w:trHeight w:val="207"/>
        </w:trPr>
        <w:tc>
          <w:tcPr>
            <w:tcW w:w="7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Contingent consideration on acquired business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4,228</w:t>
            </w:r>
          </w:p>
        </w:tc>
      </w:tr>
      <w:tr>
        <w:trPr>
          <w:trHeight w:val="198"/>
        </w:trPr>
        <w:tc>
          <w:tcPr>
            <w:tcW w:w="7800" w:type="dxa"/>
            <w:vAlign w:val="bottom"/>
          </w:tcPr>
          <w:p>
            <w:pPr>
              <w:ind w:left="140"/>
              <w:spacing w:after="0"/>
              <w:rPr>
                <w:sz w:val="20"/>
                <w:szCs w:val="20"/>
                <w:color w:val="auto"/>
              </w:rPr>
            </w:pPr>
            <w:r>
              <w:rPr>
                <w:rFonts w:ascii="Arial" w:cs="Arial" w:eastAsia="Arial" w:hAnsi="Arial"/>
                <w:sz w:val="15"/>
                <w:szCs w:val="15"/>
                <w:color w:val="auto"/>
              </w:rPr>
              <w:t>Current portion of operating lease liabilities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2,680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2,527</w:t>
            </w:r>
          </w:p>
        </w:tc>
      </w:tr>
      <w:tr>
        <w:trPr>
          <w:trHeight w:val="207"/>
        </w:trPr>
        <w:tc>
          <w:tcPr>
            <w:tcW w:w="7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8,304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7,373</w:t>
            </w:r>
          </w:p>
        </w:tc>
      </w:tr>
      <w:tr>
        <w:trPr>
          <w:trHeight w:val="192"/>
        </w:trPr>
        <w:tc>
          <w:tcPr>
            <w:tcW w:w="7800" w:type="dxa"/>
            <w:vAlign w:val="bottom"/>
          </w:tcPr>
          <w:p>
            <w:pPr>
              <w:ind w:left="56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57,415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61,230</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taxes payable</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1,958</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Deferred tax liabilities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18,662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17,171</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58,980</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19,072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16,193</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1,650</w:t>
            </w:r>
          </w:p>
        </w:tc>
      </w:tr>
      <w:tr>
        <w:trPr>
          <w:trHeight w:val="192"/>
        </w:trPr>
        <w:tc>
          <w:tcPr>
            <w:tcW w:w="7800" w:type="dxa"/>
            <w:vAlign w:val="bottom"/>
            <w:tcBorders>
              <w:bottom w:val="single" w:sz="8" w:color="CCEEFF"/>
            </w:tcBorders>
          </w:tcPr>
          <w:p>
            <w:pPr>
              <w:ind w:left="560"/>
              <w:spacing w:after="0"/>
              <w:rPr>
                <w:sz w:val="20"/>
                <w:szCs w:val="20"/>
                <w:color w:val="auto"/>
              </w:rPr>
            </w:pPr>
            <w:r>
              <w:rPr>
                <w:rFonts w:ascii="Arial" w:cs="Arial" w:eastAsia="Arial" w:hAnsi="Arial"/>
                <w:sz w:val="15"/>
                <w:szCs w:val="15"/>
                <w:color w:val="auto"/>
              </w:rPr>
              <w:t>Total liabilities</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147,580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157,182</w:t>
            </w:r>
          </w:p>
        </w:tc>
      </w:tr>
      <w:tr>
        <w:trPr>
          <w:trHeight w:val="18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 (see Note 15)</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7"/>
        </w:trPr>
        <w:tc>
          <w:tcPr>
            <w:tcW w:w="7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Preferred stock, $.01 par value; 2,000,000 shares authorized; none issued and outstanding</w:t>
            </w:r>
          </w:p>
        </w:tc>
        <w:tc>
          <w:tcPr>
            <w:tcW w:w="2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800" w:type="dxa"/>
            <w:vAlign w:val="bottom"/>
          </w:tcPr>
          <w:p>
            <w:pPr>
              <w:ind w:left="140"/>
              <w:spacing w:after="0"/>
              <w:rPr>
                <w:sz w:val="20"/>
                <w:szCs w:val="20"/>
                <w:color w:val="auto"/>
              </w:rPr>
            </w:pPr>
            <w:r>
              <w:rPr>
                <w:rFonts w:ascii="Arial" w:cs="Arial" w:eastAsia="Arial" w:hAnsi="Arial"/>
                <w:sz w:val="15"/>
                <w:szCs w:val="15"/>
                <w:color w:val="auto"/>
              </w:rPr>
              <w:t>Common stock, $.01 par value; 60,000,000 shares authorized; 40,530,498 and 35,512,843 shares issued</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355</w:t>
            </w:r>
          </w:p>
        </w:tc>
      </w:tr>
      <w:tr>
        <w:trPr>
          <w:trHeight w:val="207"/>
        </w:trPr>
        <w:tc>
          <w:tcPr>
            <w:tcW w:w="7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367,253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279,741</w:t>
            </w:r>
          </w:p>
        </w:tc>
      </w:tr>
      <w:tr>
        <w:trPr>
          <w:trHeight w:val="198"/>
        </w:trPr>
        <w:tc>
          <w:tcPr>
            <w:tcW w:w="7800" w:type="dxa"/>
            <w:vAlign w:val="bottom"/>
          </w:tcPr>
          <w:p>
            <w:pPr>
              <w:ind w:left="140"/>
              <w:spacing w:after="0"/>
              <w:rPr>
                <w:sz w:val="20"/>
                <w:szCs w:val="20"/>
                <w:color w:val="auto"/>
              </w:rPr>
            </w:pPr>
            <w:r>
              <w:rPr>
                <w:rFonts w:ascii="Arial" w:cs="Arial" w:eastAsia="Arial" w:hAnsi="Arial"/>
                <w:sz w:val="15"/>
                <w:szCs w:val="15"/>
                <w:color w:val="auto"/>
              </w:rPr>
              <w:t>Retained earnings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176,116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170,330</w:t>
            </w:r>
          </w:p>
        </w:tc>
      </w:tr>
      <w:tr>
        <w:trPr>
          <w:trHeight w:val="207"/>
        </w:trPr>
        <w:tc>
          <w:tcPr>
            <w:tcW w:w="7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(23,817)</w:t>
            </w:r>
          </w:p>
        </w:tc>
      </w:tr>
      <w:tr>
        <w:trPr>
          <w:trHeight w:val="198"/>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Treasury stock, at cost, 6,419,504 and 6,353,094 shares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(56,554)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(55,109)</w:t>
            </w:r>
          </w:p>
        </w:tc>
      </w:tr>
      <w:tr>
        <w:trPr>
          <w:trHeight w:val="196"/>
        </w:trPr>
        <w:tc>
          <w:tcPr>
            <w:tcW w:w="7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465,471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371,500</w:t>
            </w:r>
          </w:p>
        </w:tc>
      </w:tr>
      <w:tr>
        <w:trPr>
          <w:trHeight w:val="200"/>
        </w:trPr>
        <w:tc>
          <w:tcPr>
            <w:tcW w:w="7800" w:type="dxa"/>
            <w:vAlign w:val="bottom"/>
          </w:tcPr>
          <w:p>
            <w:pPr>
              <w:ind w:left="360"/>
              <w:spacing w:after="0"/>
              <w:rPr>
                <w:sz w:val="20"/>
                <w:szCs w:val="20"/>
                <w:color w:val="auto"/>
              </w:rPr>
            </w:pPr>
            <w:r>
              <w:rPr>
                <w:rFonts w:ascii="Arial" w:cs="Arial" w:eastAsia="Arial" w:hAnsi="Arial"/>
                <w:sz w:val="15"/>
                <w:szCs w:val="15"/>
                <w:color w:val="auto"/>
              </w:rPr>
              <w:t>Total liabilities and stockholders' equity</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613,051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528,682</w:t>
            </w: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7"/>
                <w:szCs w:val="17"/>
                <w:color w:val="auto"/>
              </w:rPr>
              <w:t>Nine months ended June 30,</w:t>
            </w:r>
          </w:p>
        </w:tc>
      </w:tr>
      <w:tr>
        <w:trPr>
          <w:trHeight w:val="212"/>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09"/>
        </w:trPr>
        <w:tc>
          <w:tcPr>
            <w:tcW w:w="8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7"/>
                <w:szCs w:val="17"/>
                <w:color w:val="auto"/>
              </w:rPr>
              <w:t>(in thousands)</w:t>
            </w:r>
          </w:p>
        </w:tc>
        <w:tc>
          <w:tcPr>
            <w:tcW w:w="1020" w:type="dxa"/>
            <w:vAlign w:val="bottom"/>
          </w:tcPr>
          <w:p>
            <w:pPr>
              <w:spacing w:after="0"/>
              <w:rPr>
                <w:sz w:val="18"/>
                <w:szCs w:val="18"/>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04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5,778</w:t>
            </w:r>
          </w:p>
        </w:tc>
        <w:tc>
          <w:tcPr>
            <w:tcW w:w="12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3,978</w:t>
            </w:r>
          </w:p>
        </w:tc>
      </w:tr>
      <w:tr>
        <w:trPr>
          <w:trHeight w:val="216"/>
        </w:trPr>
        <w:tc>
          <w:tcPr>
            <w:tcW w:w="8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Depreciation of property, equipment and improvements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3,211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3,472</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Amortization of intangible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10,687</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Stock-based compensation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5,323</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income tax provision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Loss on sale of property and equipment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 in fair value of contingent consideration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Provision for bad debt and product returns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438</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Provision for inventory obsolescence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Restructuring charge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995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Changes in operating assets and liabilities (net of acquisitions)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(6,920)</w:t>
            </w:r>
          </w:p>
        </w:tc>
      </w:tr>
      <w:tr>
        <w:trPr>
          <w:trHeight w:val="209"/>
        </w:trPr>
        <w:tc>
          <w:tcPr>
            <w:tcW w:w="8040" w:type="dxa"/>
            <w:vAlign w:val="bottom"/>
            <w:shd w:val="clear" w:color="auto" w:fill="CCEEFF"/>
          </w:tcPr>
          <w:p>
            <w:pPr>
              <w:ind w:left="56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42,084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19,153</w:t>
            </w:r>
          </w:p>
        </w:tc>
      </w:tr>
      <w:tr>
        <w:trPr>
          <w:trHeight w:val="208"/>
        </w:trPr>
        <w:tc>
          <w:tcPr>
            <w:tcW w:w="8040" w:type="dxa"/>
            <w:vAlign w:val="bottom"/>
          </w:tcPr>
          <w:p>
            <w:pPr>
              <w:ind w:left="20"/>
              <w:spacing w:after="0"/>
              <w:rPr>
                <w:sz w:val="20"/>
                <w:szCs w:val="20"/>
                <w:color w:val="auto"/>
              </w:rPr>
            </w:pPr>
            <w:r>
              <w:rPr>
                <w:rFonts w:ascii="Arial" w:cs="Arial" w:eastAsia="Arial" w:hAnsi="Arial"/>
                <w:sz w:val="17"/>
                <w:szCs w:val="17"/>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8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businesses, net of cash acquired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(136,098)</w:t>
            </w:r>
          </w:p>
        </w:tc>
      </w:tr>
      <w:tr>
        <w:trPr>
          <w:trHeight w:val="216"/>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Purchase of property, equipment, improvements and certain other intangible assets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w:t>
            </w:r>
          </w:p>
        </w:tc>
      </w:tr>
      <w:tr>
        <w:trPr>
          <w:trHeight w:val="209"/>
        </w:trPr>
        <w:tc>
          <w:tcPr>
            <w:tcW w:w="8040" w:type="dxa"/>
            <w:vAlign w:val="bottom"/>
            <w:shd w:val="clear" w:color="auto" w:fill="CCEEFF"/>
          </w:tcPr>
          <w:p>
            <w:pPr>
              <w:ind w:left="56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(7,957)</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(136,791)</w:t>
            </w:r>
          </w:p>
        </w:tc>
      </w:tr>
      <w:tr>
        <w:trPr>
          <w:trHeight w:val="208"/>
        </w:trPr>
        <w:tc>
          <w:tcPr>
            <w:tcW w:w="8040" w:type="dxa"/>
            <w:vAlign w:val="bottom"/>
          </w:tcPr>
          <w:p>
            <w:pPr>
              <w:ind w:left="20"/>
              <w:spacing w:after="0"/>
              <w:rPr>
                <w:sz w:val="20"/>
                <w:szCs w:val="20"/>
                <w:color w:val="auto"/>
              </w:rPr>
            </w:pPr>
            <w:r>
              <w:rPr>
                <w:rFonts w:ascii="Arial" w:cs="Arial" w:eastAsia="Arial" w:hAnsi="Arial"/>
                <w:sz w:val="17"/>
                <w:szCs w:val="17"/>
                <w:color w:val="auto"/>
              </w:rPr>
              <w:t>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8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long-term debt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119,018</w:t>
            </w:r>
          </w:p>
        </w:tc>
      </w:tr>
      <w:tr>
        <w:trPr>
          <w:trHeight w:val="216"/>
        </w:trPr>
        <w:tc>
          <w:tcPr>
            <w:tcW w:w="8040" w:type="dxa"/>
            <w:vAlign w:val="bottom"/>
          </w:tcPr>
          <w:p>
            <w:pPr>
              <w:ind w:left="140"/>
              <w:spacing w:after="0"/>
              <w:rPr>
                <w:sz w:val="20"/>
                <w:szCs w:val="20"/>
                <w:color w:val="auto"/>
              </w:rPr>
            </w:pPr>
            <w:r>
              <w:rPr>
                <w:rFonts w:ascii="Arial" w:cs="Arial" w:eastAsia="Arial" w:hAnsi="Arial"/>
                <w:sz w:val="17"/>
                <w:szCs w:val="17"/>
                <w:color w:val="auto"/>
              </w:rPr>
              <w:t>Payments on long-term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(15,625)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(40,268)</w:t>
            </w:r>
          </w:p>
        </w:tc>
      </w:tr>
      <w:tr>
        <w:trPr>
          <w:trHeight w:val="216"/>
        </w:trPr>
        <w:tc>
          <w:tcPr>
            <w:tcW w:w="8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for contingent consideration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(4,698)</w:t>
            </w:r>
          </w:p>
        </w:tc>
      </w:tr>
      <w:tr>
        <w:trPr>
          <w:trHeight w:val="216"/>
        </w:trPr>
        <w:tc>
          <w:tcPr>
            <w:tcW w:w="8040" w:type="dxa"/>
            <w:vAlign w:val="bottom"/>
          </w:tcPr>
          <w:p>
            <w:pPr>
              <w:ind w:left="140"/>
              <w:spacing w:after="0"/>
              <w:rPr>
                <w:sz w:val="20"/>
                <w:szCs w:val="20"/>
                <w:color w:val="auto"/>
              </w:rPr>
            </w:pPr>
            <w:r>
              <w:rPr>
                <w:rFonts w:ascii="Arial" w:cs="Arial" w:eastAsia="Arial" w:hAnsi="Arial"/>
                <w:sz w:val="17"/>
                <w:szCs w:val="17"/>
                <w:color w:val="auto"/>
              </w:rPr>
              <w:t>Proceeds from issuance of stock, net of offering expenses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73,830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stock option plan transactions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5,063</w:t>
            </w:r>
          </w:p>
        </w:tc>
      </w:tr>
      <w:tr>
        <w:trPr>
          <w:trHeight w:val="216"/>
        </w:trPr>
        <w:tc>
          <w:tcPr>
            <w:tcW w:w="8040" w:type="dxa"/>
            <w:vAlign w:val="bottom"/>
          </w:tcPr>
          <w:p>
            <w:pPr>
              <w:ind w:left="140"/>
              <w:spacing w:after="0"/>
              <w:rPr>
                <w:sz w:val="20"/>
                <w:szCs w:val="20"/>
                <w:color w:val="auto"/>
              </w:rPr>
            </w:pPr>
            <w:r>
              <w:rPr>
                <w:rFonts w:ascii="Arial" w:cs="Arial" w:eastAsia="Arial" w:hAnsi="Arial"/>
                <w:sz w:val="17"/>
                <w:szCs w:val="17"/>
                <w:color w:val="auto"/>
              </w:rPr>
              <w:t>Proceeds from employee stock purchase plan transactions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798</w:t>
            </w:r>
          </w:p>
        </w:tc>
      </w:tr>
      <w:tr>
        <w:trPr>
          <w:trHeight w:val="216"/>
        </w:trPr>
        <w:tc>
          <w:tcPr>
            <w:tcW w:w="8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common stock</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(1,692)</w:t>
            </w:r>
          </w:p>
        </w:tc>
      </w:tr>
      <w:tr>
        <w:trPr>
          <w:trHeight w:val="210"/>
        </w:trPr>
        <w:tc>
          <w:tcPr>
            <w:tcW w:w="8040" w:type="dxa"/>
            <w:vAlign w:val="bottom"/>
          </w:tcPr>
          <w:p>
            <w:pPr>
              <w:ind w:left="560"/>
              <w:spacing w:after="0"/>
              <w:rPr>
                <w:sz w:val="20"/>
                <w:szCs w:val="20"/>
                <w:color w:val="auto"/>
              </w:rPr>
            </w:pPr>
            <w:r>
              <w:rPr>
                <w:rFonts w:ascii="Arial" w:cs="Arial" w:eastAsia="Arial" w:hAnsi="Arial"/>
                <w:sz w:val="17"/>
                <w:szCs w:val="17"/>
                <w:color w:val="auto"/>
              </w:rPr>
              <w:t>Net cash provided by financing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60,579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78,221</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(1,893)</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1,710</w:t>
            </w:r>
          </w:p>
        </w:tc>
      </w:tr>
      <w:tr>
        <w:trPr>
          <w:trHeight w:val="209"/>
        </w:trPr>
        <w:tc>
          <w:tcPr>
            <w:tcW w:w="804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92,813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(37,707)</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54,129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92,792</w:t>
            </w:r>
          </w:p>
        </w:tc>
      </w:tr>
      <w:tr>
        <w:trPr>
          <w:trHeight w:val="209"/>
        </w:trPr>
        <w:tc>
          <w:tcPr>
            <w:tcW w:w="8040" w:type="dxa"/>
            <w:vAlign w:val="bottom"/>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146,942</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55,085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6"/>
        </w:trPr>
        <w:tc>
          <w:tcPr>
            <w:tcW w:w="80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7"/>
                <w:szCs w:val="17"/>
                <w:color w:val="auto"/>
              </w:rPr>
              <w:t>Supplemental schedule of non-cash investing and 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Transfer of inventory to property, equipment and improvements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040" w:type="dxa"/>
            <w:vAlign w:val="bottom"/>
          </w:tcPr>
          <w:p>
            <w:pPr>
              <w:ind w:left="140"/>
              <w:spacing w:after="0" w:line="190" w:lineRule="exact"/>
              <w:rPr>
                <w:sz w:val="20"/>
                <w:szCs w:val="20"/>
                <w:color w:val="auto"/>
              </w:rPr>
            </w:pPr>
            <w:r>
              <w:rPr>
                <w:rFonts w:ascii="Arial" w:cs="Arial" w:eastAsia="Arial" w:hAnsi="Arial"/>
                <w:sz w:val="17"/>
                <w:szCs w:val="17"/>
                <w:color w:val="auto"/>
              </w:rPr>
              <w:t>Contingent consideration recognized related to acquisition of business</w:t>
            </w:r>
          </w:p>
        </w:tc>
        <w:tc>
          <w:tcPr>
            <w:tcW w:w="360" w:type="dxa"/>
            <w:vAlign w:val="bottom"/>
            <w:tcBorders>
              <w:bottom w:val="single" w:sz="8" w:color="auto"/>
            </w:tcBorders>
          </w:tcPr>
          <w:p>
            <w:pPr>
              <w:jc w:val="right"/>
              <w:ind w:right="174"/>
              <w:spacing w:after="0" w:line="190"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(5,914)</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14"/>
              <w:spacing w:after="0" w:line="190"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(5,100)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Tenant improvement allowance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040" w:type="dxa"/>
            <w:vAlign w:val="bottom"/>
          </w:tcPr>
          <w:p>
            <w:pPr>
              <w:ind w:left="140"/>
              <w:spacing w:after="0" w:line="190" w:lineRule="exact"/>
              <w:rPr>
                <w:sz w:val="20"/>
                <w:szCs w:val="20"/>
                <w:color w:val="auto"/>
              </w:rPr>
            </w:pPr>
            <w:r>
              <w:rPr>
                <w:rFonts w:ascii="Arial" w:cs="Arial" w:eastAsia="Arial" w:hAnsi="Arial"/>
                <w:sz w:val="17"/>
                <w:szCs w:val="17"/>
                <w:color w:val="auto"/>
              </w:rPr>
              <w:t>Accrual for purchase of property, equipment, improvements and certain other intangible assets</w:t>
            </w:r>
          </w:p>
        </w:tc>
        <w:tc>
          <w:tcPr>
            <w:tcW w:w="360" w:type="dxa"/>
            <w:vAlign w:val="bottom"/>
            <w:tcBorders>
              <w:bottom w:val="single" w:sz="8" w:color="auto"/>
            </w:tcBorders>
          </w:tcPr>
          <w:p>
            <w:pPr>
              <w:jc w:val="right"/>
              <w:ind w:right="174"/>
              <w:spacing w:after="0" w:line="190"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(14)</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14"/>
              <w:spacing w:after="0" w:line="190"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3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5"/>
                <w:szCs w:val="15"/>
                <w:color w:val="auto"/>
              </w:rPr>
              <w:t>Additional</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5"/>
                <w:szCs w:val="15"/>
                <w:color w:val="auto"/>
                <w:w w:val="93"/>
              </w:rPr>
              <w:t>Accum. Other</w:t>
            </w:r>
          </w:p>
        </w:tc>
        <w:tc>
          <w:tcPr>
            <w:tcW w:w="140" w:type="dxa"/>
            <w:vAlign w:val="bottom"/>
          </w:tcPr>
          <w:p>
            <w:pPr>
              <w:spacing w:after="0"/>
              <w:rPr>
                <w:sz w:val="16"/>
                <w:szCs w:val="16"/>
                <w:color w:val="auto"/>
              </w:rPr>
            </w:pPr>
          </w:p>
        </w:tc>
        <w:tc>
          <w:tcPr>
            <w:tcW w:w="1040" w:type="dxa"/>
            <w:vAlign w:val="bottom"/>
          </w:tcPr>
          <w:p>
            <w:pPr>
              <w:jc w:val="center"/>
              <w:ind w:right="84"/>
              <w:spacing w:after="0"/>
              <w:rPr>
                <w:sz w:val="20"/>
                <w:szCs w:val="20"/>
                <w:color w:val="auto"/>
              </w:rPr>
            </w:pPr>
            <w:r>
              <w:rPr>
                <w:rFonts w:ascii="Arial" w:cs="Arial" w:eastAsia="Arial" w:hAnsi="Arial"/>
                <w:sz w:val="15"/>
                <w:szCs w:val="15"/>
                <w:color w:val="auto"/>
                <w:w w:val="95"/>
              </w:rPr>
              <w:t>Total</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740" w:type="dxa"/>
            <w:vAlign w:val="bottom"/>
            <w:gridSpan w:val="5"/>
          </w:tcPr>
          <w:p>
            <w:pPr>
              <w:ind w:left="340"/>
              <w:spacing w:after="0"/>
              <w:rPr>
                <w:sz w:val="20"/>
                <w:szCs w:val="20"/>
                <w:color w:val="auto"/>
              </w:rPr>
            </w:pPr>
            <w:r>
              <w:rPr>
                <w:rFonts w:ascii="Arial" w:cs="Arial" w:eastAsia="Arial" w:hAnsi="Arial"/>
                <w:sz w:val="15"/>
                <w:szCs w:val="15"/>
                <w:color w:val="auto"/>
              </w:rPr>
              <w:t>Common Stock</w:t>
            </w:r>
          </w:p>
        </w:tc>
        <w:tc>
          <w:tcPr>
            <w:tcW w:w="1720" w:type="dxa"/>
            <w:vAlign w:val="bottom"/>
            <w:gridSpan w:val="5"/>
          </w:tcPr>
          <w:p>
            <w:pPr>
              <w:jc w:val="center"/>
              <w:ind w:right="120"/>
              <w:spacing w:after="0"/>
              <w:rPr>
                <w:sz w:val="20"/>
                <w:szCs w:val="20"/>
                <w:color w:val="auto"/>
              </w:rPr>
            </w:pPr>
            <w:r>
              <w:rPr>
                <w:rFonts w:ascii="Arial" w:cs="Arial" w:eastAsia="Arial" w:hAnsi="Arial"/>
                <w:sz w:val="15"/>
                <w:szCs w:val="15"/>
                <w:color w:val="auto"/>
                <w:w w:val="91"/>
              </w:rPr>
              <w:t>Treasury Stock</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5"/>
                <w:szCs w:val="15"/>
                <w:color w:val="auto"/>
                <w:w w:val="96"/>
              </w:rPr>
              <w:t>Paid-In</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color w:val="auto"/>
              </w:rPr>
              <w:t>Retained</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5"/>
                <w:szCs w:val="15"/>
                <w:color w:val="auto"/>
                <w:w w:val="91"/>
              </w:rPr>
              <w:t>Comprehensive</w:t>
            </w:r>
          </w:p>
        </w:tc>
        <w:tc>
          <w:tcPr>
            <w:tcW w:w="140" w:type="dxa"/>
            <w:vAlign w:val="bottom"/>
          </w:tcPr>
          <w:p>
            <w:pPr>
              <w:spacing w:after="0"/>
              <w:rPr>
                <w:sz w:val="17"/>
                <w:szCs w:val="17"/>
                <w:color w:val="auto"/>
              </w:rPr>
            </w:pPr>
          </w:p>
        </w:tc>
        <w:tc>
          <w:tcPr>
            <w:tcW w:w="1040" w:type="dxa"/>
            <w:vAlign w:val="bottom"/>
          </w:tcPr>
          <w:p>
            <w:pPr>
              <w:jc w:val="center"/>
              <w:ind w:right="64"/>
              <w:spacing w:after="0"/>
              <w:rPr>
                <w:sz w:val="20"/>
                <w:szCs w:val="20"/>
                <w:color w:val="auto"/>
              </w:rPr>
            </w:pPr>
            <w:r>
              <w:rPr>
                <w:rFonts w:ascii="Arial" w:cs="Arial" w:eastAsia="Arial" w:hAnsi="Arial"/>
                <w:sz w:val="15"/>
                <w:szCs w:val="15"/>
                <w:color w:val="auto"/>
                <w:w w:val="91"/>
              </w:rPr>
              <w:t>Stockholders'</w:t>
            </w:r>
          </w:p>
        </w:tc>
        <w:tc>
          <w:tcPr>
            <w:tcW w:w="0" w:type="dxa"/>
            <w:vAlign w:val="bottom"/>
          </w:tcPr>
          <w:p>
            <w:pPr>
              <w:spacing w:after="0"/>
              <w:rPr>
                <w:sz w:val="1"/>
                <w:szCs w:val="1"/>
                <w:color w:val="auto"/>
              </w:rPr>
            </w:pPr>
          </w:p>
        </w:tc>
      </w:tr>
      <w:tr>
        <w:trPr>
          <w:trHeight w:val="207"/>
        </w:trPr>
        <w:tc>
          <w:tcPr>
            <w:tcW w:w="3020" w:type="dxa"/>
            <w:vAlign w:val="bottom"/>
          </w:tcPr>
          <w:p>
            <w:pPr>
              <w:ind w:left="20"/>
              <w:spacing w:after="0"/>
              <w:rPr>
                <w:sz w:val="20"/>
                <w:szCs w:val="20"/>
                <w:color w:val="auto"/>
              </w:rPr>
            </w:pPr>
            <w:r>
              <w:rPr>
                <w:rFonts w:ascii="Arial" w:cs="Arial" w:eastAsia="Arial" w:hAnsi="Arial"/>
                <w:sz w:val="15"/>
                <w:szCs w:val="15"/>
                <w:color w:val="auto"/>
              </w:rPr>
              <w:t>(in thousands)</w:t>
            </w:r>
          </w:p>
        </w:tc>
        <w:tc>
          <w:tcPr>
            <w:tcW w:w="780" w:type="dxa"/>
            <w:vAlign w:val="bottom"/>
            <w:gridSpan w:val="2"/>
          </w:tcPr>
          <w:p>
            <w:pPr>
              <w:ind w:left="140"/>
              <w:spacing w:after="0"/>
              <w:rPr>
                <w:sz w:val="20"/>
                <w:szCs w:val="20"/>
                <w:color w:val="auto"/>
              </w:rPr>
            </w:pPr>
            <w:r>
              <w:rPr>
                <w:rFonts w:ascii="Arial" w:cs="Arial" w:eastAsia="Arial" w:hAnsi="Arial"/>
                <w:sz w:val="15"/>
                <w:szCs w:val="15"/>
                <w:color w:val="auto"/>
              </w:rPr>
              <w:t>Shares</w:t>
            </w:r>
          </w:p>
        </w:tc>
        <w:tc>
          <w:tcPr>
            <w:tcW w:w="12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5"/>
                <w:szCs w:val="15"/>
                <w:color w:val="auto"/>
              </w:rPr>
              <w:t>Par Value</w:t>
            </w:r>
          </w:p>
        </w:tc>
        <w:tc>
          <w:tcPr>
            <w:tcW w:w="760" w:type="dxa"/>
            <w:vAlign w:val="bottom"/>
            <w:gridSpan w:val="2"/>
          </w:tcPr>
          <w:p>
            <w:pPr>
              <w:ind w:left="120"/>
              <w:spacing w:after="0"/>
              <w:rPr>
                <w:sz w:val="20"/>
                <w:szCs w:val="20"/>
                <w:color w:val="auto"/>
              </w:rPr>
            </w:pPr>
            <w:r>
              <w:rPr>
                <w:rFonts w:ascii="Arial" w:cs="Arial" w:eastAsia="Arial" w:hAnsi="Arial"/>
                <w:sz w:val="15"/>
                <w:szCs w:val="15"/>
                <w:color w:val="auto"/>
              </w:rPr>
              <w:t>Shares</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Value</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5"/>
                <w:szCs w:val="15"/>
                <w:color w:val="auto"/>
                <w:w w:val="94"/>
              </w:rPr>
              <w:t>Capital</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5"/>
                <w:szCs w:val="15"/>
                <w:color w:val="auto"/>
                <w:w w:val="88"/>
              </w:rPr>
              <w:t>Loss</w:t>
            </w:r>
          </w:p>
        </w:tc>
        <w:tc>
          <w:tcPr>
            <w:tcW w:w="140" w:type="dxa"/>
            <w:vAlign w:val="bottom"/>
          </w:tcPr>
          <w:p>
            <w:pPr>
              <w:spacing w:after="0"/>
              <w:rPr>
                <w:sz w:val="17"/>
                <w:szCs w:val="17"/>
                <w:color w:val="auto"/>
              </w:rPr>
            </w:pPr>
          </w:p>
        </w:tc>
        <w:tc>
          <w:tcPr>
            <w:tcW w:w="1040" w:type="dxa"/>
            <w:vAlign w:val="bottom"/>
          </w:tcPr>
          <w:p>
            <w:pPr>
              <w:jc w:val="center"/>
              <w:ind w:right="84"/>
              <w:spacing w:after="0"/>
              <w:rPr>
                <w:sz w:val="20"/>
                <w:szCs w:val="20"/>
                <w:color w:val="auto"/>
              </w:rPr>
            </w:pPr>
            <w:r>
              <w:rPr>
                <w:rFonts w:ascii="Arial" w:cs="Arial" w:eastAsia="Arial" w:hAnsi="Arial"/>
                <w:sz w:val="15"/>
                <w:szCs w:val="15"/>
                <w:color w:val="auto"/>
                <w:w w:val="95"/>
              </w:rPr>
              <w:t>Equity</w:t>
            </w:r>
          </w:p>
        </w:tc>
        <w:tc>
          <w:tcPr>
            <w:tcW w:w="0" w:type="dxa"/>
            <w:vAlign w:val="bottom"/>
          </w:tcPr>
          <w:p>
            <w:pPr>
              <w:spacing w:after="0"/>
              <w:rPr>
                <w:sz w:val="1"/>
                <w:szCs w:val="1"/>
                <w:color w:val="auto"/>
              </w:rPr>
            </w:pPr>
          </w:p>
        </w:tc>
      </w:tr>
      <w:tr>
        <w:trPr>
          <w:trHeight w:val="200"/>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March 31, 2020</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35,364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(55,563)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274,780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164,131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358,363</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1,766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1,766</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681</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Employee stock purchase plan issuances</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324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153"/>
        </w:trPr>
        <w:tc>
          <w:tcPr>
            <w:tcW w:w="30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9"/>
              </w:rPr>
              <w:t>Taxes paid for net share settlement of share-</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based payment awards</w:t>
            </w: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Issuance of stock under stock award plans</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1,882</w:t>
            </w:r>
          </w:p>
        </w:tc>
        <w:tc>
          <w:tcPr>
            <w:tcW w:w="0" w:type="dxa"/>
            <w:vAlign w:val="bottom"/>
          </w:tcPr>
          <w:p>
            <w:pPr>
              <w:spacing w:after="0"/>
              <w:rPr>
                <w:sz w:val="1"/>
                <w:szCs w:val="1"/>
                <w:color w:val="auto"/>
              </w:rPr>
            </w:pPr>
          </w:p>
        </w:tc>
      </w:tr>
      <w:tr>
        <w:trPr>
          <w:trHeight w:val="200"/>
        </w:trPr>
        <w:tc>
          <w:tcPr>
            <w:tcW w:w="3020" w:type="dxa"/>
            <w:vAlign w:val="bottom"/>
          </w:tcPr>
          <w:p>
            <w:pPr>
              <w:ind w:left="20"/>
              <w:spacing w:after="0"/>
              <w:rPr>
                <w:sz w:val="20"/>
                <w:szCs w:val="20"/>
                <w:color w:val="auto"/>
              </w:rPr>
            </w:pPr>
            <w:r>
              <w:rPr>
                <w:rFonts w:ascii="Arial" w:cs="Arial" w:eastAsia="Arial" w:hAnsi="Arial"/>
                <w:sz w:val="15"/>
                <w:szCs w:val="15"/>
                <w:color w:val="auto"/>
              </w:rPr>
              <w:t>Balances, June 30, 2020</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35,405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354</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6,373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(55,248)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276,960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165,897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(24,658)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363,305</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Balances, September 30, 2019</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34,608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346</w:t>
            </w: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6,367</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(54,339)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266,567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161,919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(25,515)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348,978</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3,978</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857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857</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Employee stock purchase plan issuances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798</w:t>
            </w:r>
          </w:p>
        </w:tc>
        <w:tc>
          <w:tcPr>
            <w:tcW w:w="0" w:type="dxa"/>
            <w:vAlign w:val="bottom"/>
          </w:tcPr>
          <w:p>
            <w:pPr>
              <w:spacing w:after="0"/>
              <w:rPr>
                <w:sz w:val="1"/>
                <w:szCs w:val="1"/>
                <w:color w:val="auto"/>
              </w:rPr>
            </w:pPr>
          </w:p>
        </w:tc>
      </w:tr>
      <w:tr>
        <w:trPr>
          <w:trHeight w:val="149"/>
        </w:trPr>
        <w:tc>
          <w:tcPr>
            <w:tcW w:w="3020" w:type="dxa"/>
            <w:vAlign w:val="bottom"/>
          </w:tcPr>
          <w:p>
            <w:pPr>
              <w:ind w:left="20"/>
              <w:spacing w:after="0" w:line="149" w:lineRule="exact"/>
              <w:rPr>
                <w:sz w:val="20"/>
                <w:szCs w:val="20"/>
                <w:color w:val="auto"/>
              </w:rPr>
            </w:pPr>
            <w:r>
              <w:rPr>
                <w:rFonts w:ascii="Arial" w:cs="Arial" w:eastAsia="Arial" w:hAnsi="Arial"/>
                <w:sz w:val="15"/>
                <w:szCs w:val="15"/>
                <w:color w:val="auto"/>
                <w:w w:val="99"/>
              </w:rPr>
              <w:t>Taxes paid for net share settlement of share-</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ind w:right="4"/>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(1,692)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(1,692)</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based payment awards</w:t>
            </w: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stock under stock award plans</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5,063</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5,323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5,323</w:t>
            </w:r>
          </w:p>
        </w:tc>
        <w:tc>
          <w:tcPr>
            <w:tcW w:w="0" w:type="dxa"/>
            <w:vAlign w:val="bottom"/>
          </w:tcPr>
          <w:p>
            <w:pPr>
              <w:spacing w:after="0"/>
              <w:rPr>
                <w:sz w:val="1"/>
                <w:szCs w:val="1"/>
                <w:color w:val="auto"/>
              </w:rPr>
            </w:pPr>
          </w:p>
        </w:tc>
      </w:tr>
      <w:tr>
        <w:trPr>
          <w:trHeight w:val="225"/>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June 30, 2020</w:t>
            </w: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35,405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276,960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165,897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363,305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March 31, 2021</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40,442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172,951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459,152</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3,157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3,157</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463</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5"/>
                <w:szCs w:val="15"/>
                <w:color w:val="auto"/>
              </w:rPr>
              <w:t>Other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Employee stock purchase plan issuances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149"/>
        </w:trPr>
        <w:tc>
          <w:tcPr>
            <w:tcW w:w="3020" w:type="dxa"/>
            <w:vAlign w:val="bottom"/>
          </w:tcPr>
          <w:p>
            <w:pPr>
              <w:ind w:left="20"/>
              <w:spacing w:after="0" w:line="149" w:lineRule="exact"/>
              <w:rPr>
                <w:sz w:val="20"/>
                <w:szCs w:val="20"/>
                <w:color w:val="auto"/>
              </w:rPr>
            </w:pPr>
            <w:r>
              <w:rPr>
                <w:rFonts w:ascii="Arial" w:cs="Arial" w:eastAsia="Arial" w:hAnsi="Arial"/>
                <w:sz w:val="15"/>
                <w:szCs w:val="15"/>
                <w:color w:val="auto"/>
                <w:w w:val="99"/>
              </w:rPr>
              <w:t>Taxes paid for net share settlement of share-</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ind w:right="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based payment awards</w:t>
            </w: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stock under stock award plans</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403</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2,110</w:t>
            </w:r>
          </w:p>
        </w:tc>
        <w:tc>
          <w:tcPr>
            <w:tcW w:w="0" w:type="dxa"/>
            <w:vAlign w:val="bottom"/>
          </w:tcPr>
          <w:p>
            <w:pPr>
              <w:spacing w:after="0"/>
              <w:rPr>
                <w:sz w:val="1"/>
                <w:szCs w:val="1"/>
                <w:color w:val="auto"/>
              </w:rPr>
            </w:pPr>
          </w:p>
        </w:tc>
      </w:tr>
      <w:tr>
        <w:trPr>
          <w:trHeight w:val="225"/>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June 30, 2021</w:t>
            </w: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40,512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367,253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176,116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465,471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September 30, 2020</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35,513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279,741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170,330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371,500</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5,778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5,778</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2,068</w:t>
            </w:r>
          </w:p>
        </w:tc>
        <w:tc>
          <w:tcPr>
            <w:tcW w:w="0" w:type="dxa"/>
            <w:vAlign w:val="bottom"/>
          </w:tcPr>
          <w:p>
            <w:pPr>
              <w:spacing w:after="0"/>
              <w:rPr>
                <w:sz w:val="1"/>
                <w:szCs w:val="1"/>
                <w:color w:val="auto"/>
              </w:rPr>
            </w:pPr>
          </w:p>
        </w:tc>
      </w:tr>
      <w:tr>
        <w:trPr>
          <w:trHeight w:val="149"/>
        </w:trPr>
        <w:tc>
          <w:tcPr>
            <w:tcW w:w="3020" w:type="dxa"/>
            <w:vAlign w:val="bottom"/>
          </w:tcPr>
          <w:p>
            <w:pPr>
              <w:ind w:left="20"/>
              <w:spacing w:after="0" w:line="149" w:lineRule="exact"/>
              <w:rPr>
                <w:sz w:val="20"/>
                <w:szCs w:val="20"/>
                <w:color w:val="auto"/>
              </w:rPr>
            </w:pPr>
            <w:r>
              <w:rPr>
                <w:rFonts w:ascii="Arial" w:cs="Arial" w:eastAsia="Arial" w:hAnsi="Arial"/>
                <w:sz w:val="15"/>
                <w:szCs w:val="15"/>
                <w:color w:val="auto"/>
              </w:rPr>
              <w:t>Issuance of common stock, net of offering</w:t>
            </w: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4,025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73,790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40" w:type="dxa"/>
            <w:vAlign w:val="bottom"/>
            <w:vMerge w:val="restart"/>
          </w:tcPr>
          <w:p>
            <w:pPr>
              <w:jc w:val="right"/>
              <w:ind w:right="4"/>
              <w:spacing w:after="0"/>
              <w:rPr>
                <w:sz w:val="20"/>
                <w:szCs w:val="20"/>
                <w:color w:val="auto"/>
              </w:rPr>
            </w:pPr>
            <w:r>
              <w:rPr>
                <w:rFonts w:ascii="Arial" w:cs="Arial" w:eastAsia="Arial" w:hAnsi="Arial"/>
                <w:sz w:val="15"/>
                <w:szCs w:val="15"/>
                <w:color w:val="auto"/>
              </w:rPr>
              <w:t>73,830</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expenses</w:t>
            </w: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Employee stock purchase plan issuances</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540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916</w:t>
            </w:r>
          </w:p>
        </w:tc>
        <w:tc>
          <w:tcPr>
            <w:tcW w:w="0" w:type="dxa"/>
            <w:vAlign w:val="bottom"/>
          </w:tcPr>
          <w:p>
            <w:pPr>
              <w:spacing w:after="0"/>
              <w:rPr>
                <w:sz w:val="1"/>
                <w:szCs w:val="1"/>
                <w:color w:val="auto"/>
              </w:rPr>
            </w:pPr>
          </w:p>
        </w:tc>
      </w:tr>
      <w:tr>
        <w:trPr>
          <w:trHeight w:val="153"/>
        </w:trPr>
        <w:tc>
          <w:tcPr>
            <w:tcW w:w="30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9"/>
              </w:rPr>
              <w:t>Taxes paid for net share settlement of share-</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(1,985)</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based payment awards</w:t>
            </w: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Issuance of stock under stock award plans</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974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7,015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7,025</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6,331</w:t>
            </w:r>
          </w:p>
        </w:tc>
        <w:tc>
          <w:tcPr>
            <w:tcW w:w="0" w:type="dxa"/>
            <w:vAlign w:val="bottom"/>
          </w:tcPr>
          <w:p>
            <w:pPr>
              <w:spacing w:after="0"/>
              <w:rPr>
                <w:sz w:val="1"/>
                <w:szCs w:val="1"/>
                <w:color w:val="auto"/>
              </w:rPr>
            </w:pPr>
          </w:p>
        </w:tc>
      </w:tr>
      <w:tr>
        <w:trPr>
          <w:trHeight w:val="200"/>
        </w:trPr>
        <w:tc>
          <w:tcPr>
            <w:tcW w:w="3020" w:type="dxa"/>
            <w:vAlign w:val="bottom"/>
          </w:tcPr>
          <w:p>
            <w:pPr>
              <w:ind w:left="20"/>
              <w:spacing w:after="0"/>
              <w:rPr>
                <w:sz w:val="20"/>
                <w:szCs w:val="20"/>
                <w:color w:val="auto"/>
              </w:rPr>
            </w:pPr>
            <w:r>
              <w:rPr>
                <w:rFonts w:ascii="Arial" w:cs="Arial" w:eastAsia="Arial" w:hAnsi="Arial"/>
                <w:sz w:val="15"/>
                <w:szCs w:val="15"/>
                <w:color w:val="auto"/>
              </w:rPr>
              <w:t>Balances, June 30, 2021</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40,512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405</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6,401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(56,554)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367,253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176,116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(21,749)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465,471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340"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 OF UNAUDITED INTERIM CONDENSED CONSOLIDATED FINANCIAL STATEMENTS AND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unaudited condensed consolidated financial statements of Digi International Inc. ("we", "us", "our", "Digi" or "the Company") have been prepared in accordance with the rules and regulations of the United States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our Annual Report on Form 10-K for the year ended September 30, 2020 (the "2020 Financial Statements"). We use the same accounting policies in preparing quarterly and annual financial statements. The quarterly results of operations are not necessarily indicative of the results to be expected for the full year.</w:t>
      </w:r>
    </w:p>
    <w:p>
      <w:pPr>
        <w:spacing w:after="0" w:line="13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described in Note 9, effective with the reorganization announcement on October 7, 2020, the measure of segment operating income (loss) used by our chief operating decision maker ("CODM") changed. As a result, our disclosed measure of segment operating income (loss) has been updated.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Impacts of COVID-19 on our Business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impact of the coronavirus ("COVID-19") pandemic continues to unfold. The extent of the pandemic's effect on our operational and financial performance will depend in large part on future developments, which cannot be reasonably estimated at this time. Future developments include the duration, scope and severity of the pandemic, the actions taken to contain or mitigate its impact both within and outside the jurisdictions where we operate, the impact on governmental programs and budgets, the development of treatments or vaccines, and the timing and level of resumption of widespread economic activity. Due to the inherent uncertainty of the unprecedented and rapidly evolving situation, we are unable to predict with any confidence the likely impact of the COVID-19 pandemic on our future operations. For a more detailed discussion see Part I, Item 1 in our Annual Report on Form 10-K for the year ended September 30, 2020 and "Management's Discussion and Analysis of Financial Condition and Results of Operations" in Item 2 of this Form 10-Q.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18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2018-13, </w:t>
      </w:r>
      <w:r>
        <w:rPr>
          <w:rFonts w:ascii="Arial" w:cs="Arial" w:eastAsia="Arial" w:hAnsi="Arial"/>
          <w:sz w:val="17"/>
          <w:szCs w:val="17"/>
          <w:i w:val="1"/>
          <w:iCs w:val="1"/>
          <w:color w:val="auto"/>
        </w:rPr>
        <w:t>Fair Value Measurement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Framework (Topic 820). </w:t>
      </w:r>
      <w:r>
        <w:rPr>
          <w:rFonts w:ascii="Arial" w:cs="Arial" w:eastAsia="Arial" w:hAnsi="Arial"/>
          <w:sz w:val="17"/>
          <w:szCs w:val="17"/>
          <w:color w:val="auto"/>
        </w:rPr>
        <w:t>The updated guidance changes the disclosure requirements on fair value measurements. We adopted this standard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quarter of fiscal 2021. This standard did not have a material impact on our consolidated financial statements.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June 2016,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The amendments in this update replace the incurred loss impairment methodology in current U.S. GAAP with a methodology that reflects expected credit losses. This update is intended to provide financial statement users with more decision-useful information about expected credit losses. We adopted this standard in the first quarter of fiscal 2021, following the modified-retrospective approach. This standard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2.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Haxiot, Inc.</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March 26, 2021, we acquired Haxiot, Inc. ("Haxiot"), a Dallas-based provider of low power wide area ("LPWA") wireless technology. The results of operations are now included in our third quarter of fiscal 2021 results within our IoT Products &amp; Services segment.</w:t>
      </w:r>
    </w:p>
    <w:p>
      <w:pPr>
        <w:spacing w:after="0" w:line="35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terms of the acquisition included an upfront cash payment as well as contingent consideration comprised of future earn-out payments. We funded the closing of the acquisition with $7.1 million of cash on hand. The future earn-out payments are based on Haxiot revenue performance and contractually are not to exceed $3.0 million and $5.0 million for the annual periods ending December 31, 2021 and December 31, 2022. The fair value amount of these earn-outs for the annual periods ending December 31, 2021 and December 31, 2022 are $3.0 million and $2.9 million, respectively. In the fiscal third quarter of fiscal 2021, the preliminary purchase price allocation was updated, including related determination of fair value and income tax implications. As a result, we adjusted goodwill to $8.6 million and adjusted contingent consideration to $5.9 million on our balance sheet at June 30, 2021.</w:t>
      </w:r>
    </w:p>
    <w:p>
      <w:pPr>
        <w:spacing w:after="0" w:line="39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For tax purposes, this acquisition is treated as a stock acquisition. The goodwill therefore is not deductible. We believe this is a complementary acquisition for us as it significantly enhances our IoT Products &amp; Services segment by enhancing Digi's embedded systems portfolio and immediately extends the company's market reach with a complete LoRaWAN</w:t>
      </w:r>
      <w:r>
        <w:rPr>
          <w:rFonts w:ascii="Arial" w:cs="Arial" w:eastAsia="Arial" w:hAnsi="Arial"/>
          <w:sz w:val="23"/>
          <w:szCs w:val="23"/>
          <w:color w:val="auto"/>
          <w:vertAlign w:val="superscript"/>
        </w:rPr>
        <w:t>®</w:t>
      </w:r>
      <w:r>
        <w:rPr>
          <w:rFonts w:ascii="Arial" w:cs="Arial" w:eastAsia="Arial" w:hAnsi="Arial"/>
          <w:sz w:val="18"/>
          <w:szCs w:val="18"/>
          <w:color w:val="auto"/>
        </w:rPr>
        <w:t>-based solutions offering.</w:t>
      </w:r>
    </w:p>
    <w:p>
      <w:pPr>
        <w:spacing w:after="0" w:line="7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Costs directly related to the acquisition of $0.2 million incurred fiscal year to date 2021 have been charged to operations and are included in general and administrative expense in our condensed statements of operations. These acquisition costs include legal, accounting, valuation and investment banking fees.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values of Haxiot assets acquired and liabilities assumed as of the acquisition date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r>
      <w:tr>
        <w:trPr>
          <w:trHeight w:val="229"/>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w:t>
            </w: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13,046</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net tangible assets acquired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93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r>
      <w:tr>
        <w:trPr>
          <w:trHeight w:val="229"/>
        </w:trPr>
        <w:tc>
          <w:tcPr>
            <w:tcW w:w="9320" w:type="dxa"/>
            <w:vAlign w:val="bottom"/>
          </w:tcPr>
          <w:p>
            <w:pPr>
              <w:ind w:left="140"/>
              <w:spacing w:after="0"/>
              <w:rPr>
                <w:sz w:val="20"/>
                <w:szCs w:val="20"/>
                <w:color w:val="auto"/>
              </w:rPr>
            </w:pPr>
            <w:r>
              <w:rPr>
                <w:rFonts w:ascii="Arial" w:cs="Arial" w:eastAsia="Arial" w:hAnsi="Arial"/>
                <w:sz w:val="18"/>
                <w:szCs w:val="18"/>
                <w:color w:val="auto"/>
              </w:rPr>
              <w:t>Purchased and core technology</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30"/>
        </w:trPr>
        <w:tc>
          <w:tcPr>
            <w:tcW w:w="9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9320" w:type="dxa"/>
            <w:vAlign w:val="bottom"/>
          </w:tcPr>
          <w:p>
            <w:pPr>
              <w:ind w:left="140"/>
              <w:spacing w:after="0"/>
              <w:rPr>
                <w:sz w:val="20"/>
                <w:szCs w:val="20"/>
                <w:color w:val="auto"/>
              </w:rPr>
            </w:pPr>
            <w:r>
              <w:rPr>
                <w:rFonts w:ascii="Arial" w:cs="Arial" w:eastAsia="Arial" w:hAnsi="Arial"/>
                <w:sz w:val="18"/>
                <w:szCs w:val="18"/>
                <w:color w:val="auto"/>
              </w:rPr>
              <w:t>Deferred tax liability on identifiable intangible assets</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r>
      <w:tr>
        <w:trPr>
          <w:trHeight w:val="223"/>
        </w:trPr>
        <w:tc>
          <w:tcPr>
            <w:tcW w:w="9320" w:type="dxa"/>
            <w:vAlign w:val="bottom"/>
          </w:tcPr>
          <w:p>
            <w:pPr>
              <w:ind w:left="1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13,046</w:t>
            </w:r>
          </w:p>
        </w:tc>
      </w:tr>
      <w:tr>
        <w:trPr>
          <w:trHeight w:val="20"/>
        </w:trPr>
        <w:tc>
          <w:tcPr>
            <w:tcW w:w="9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Opengear, Inc.</w:t>
      </w:r>
    </w:p>
    <w:p>
      <w:pPr>
        <w:spacing w:after="0" w:line="18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December 13, 2019, we completed our acquisition of Opengear, Inc. ("Opengear"), a New Jersey-based provider of secure IT infrastructure products and software. Opengear results have been included in our condensed consolidated financial statements within our IoT Products &amp; Services segment since the date of acquisition.</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first quarter of fiscal 2021, we recorded an out-of-period adjustment in connection with the purchase price accounting of Opengear. This balance sheet adjustment resulted in a decrease in fair value of net tangible assets acquired of $1.1 million, a decrease of $0.3 million to non-current deferred tax liability and an increase to goodwill of $0.8 million. Management assessed the impact of this adjustment and believes, after considering both quantitative and qualitative factors, that it is not material to our current or previously issued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final fair values of Opengear assets acquired and liabilities assumed as of the acquisition date (in thousands):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93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95"/>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8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148,058</w:t>
            </w:r>
          </w:p>
        </w:tc>
      </w:tr>
      <w:tr>
        <w:trPr>
          <w:trHeight w:val="229"/>
        </w:trPr>
        <w:tc>
          <w:tcPr>
            <w:tcW w:w="20" w:type="dxa"/>
            <w:vAlign w:val="bottom"/>
          </w:tcPr>
          <w:p>
            <w:pPr>
              <w:spacing w:after="0"/>
              <w:rPr>
                <w:sz w:val="19"/>
                <w:szCs w:val="19"/>
                <w:color w:val="auto"/>
              </w:rPr>
            </w:pPr>
          </w:p>
        </w:tc>
        <w:tc>
          <w:tcPr>
            <w:tcW w:w="9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r>
      <w:tr>
        <w:trPr>
          <w:trHeight w:val="248"/>
        </w:trPr>
        <w:tc>
          <w:tcPr>
            <w:tcW w:w="20" w:type="dxa"/>
            <w:vAlign w:val="bottom"/>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153,158</w:t>
            </w:r>
          </w:p>
        </w:tc>
      </w:tr>
      <w:tr>
        <w:trPr>
          <w:trHeight w:val="20"/>
        </w:trPr>
        <w:tc>
          <w:tcPr>
            <w:tcW w:w="20" w:type="dxa"/>
            <w:vAlign w:val="bottom"/>
          </w:tcPr>
          <w:p>
            <w:pPr>
              <w:spacing w:after="0" w:line="20" w:lineRule="exact"/>
              <w:rPr>
                <w:sz w:val="1"/>
                <w:szCs w:val="1"/>
                <w:color w:val="auto"/>
              </w:rPr>
            </w:pPr>
          </w:p>
        </w:tc>
        <w:tc>
          <w:tcPr>
            <w:tcW w:w="932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net tangible assets acquired</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18,096</w:t>
            </w:r>
          </w:p>
        </w:tc>
      </w:tr>
      <w:tr>
        <w:trPr>
          <w:trHeight w:val="229"/>
        </w:trPr>
        <w:tc>
          <w:tcPr>
            <w:tcW w:w="20" w:type="dxa"/>
            <w:vAlign w:val="bottom"/>
          </w:tcPr>
          <w:p>
            <w:pPr>
              <w:spacing w:after="0"/>
              <w:rPr>
                <w:sz w:val="19"/>
                <w:szCs w:val="19"/>
                <w:color w:val="auto"/>
              </w:rPr>
            </w:pPr>
          </w:p>
        </w:tc>
        <w:tc>
          <w:tcPr>
            <w:tcW w:w="9320" w:type="dxa"/>
            <w:vAlign w:val="bottom"/>
            <w:gridSpan w:val="2"/>
          </w:tcPr>
          <w:p>
            <w:pPr>
              <w:ind w:left="20"/>
              <w:spacing w:after="0"/>
              <w:rPr>
                <w:sz w:val="20"/>
                <w:szCs w:val="20"/>
                <w:color w:val="auto"/>
              </w:rPr>
            </w:pPr>
            <w:r>
              <w:rPr>
                <w:rFonts w:ascii="Arial" w:cs="Arial" w:eastAsia="Arial" w:hAnsi="Arial"/>
                <w:sz w:val="18"/>
                <w:szCs w:val="18"/>
                <w:color w:val="auto"/>
              </w:rPr>
              <w:t>Identifiable intangible assets:</w:t>
            </w: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r>
      <w:tr>
        <w:trPr>
          <w:trHeight w:val="230"/>
        </w:trPr>
        <w:tc>
          <w:tcPr>
            <w:tcW w:w="20" w:type="dxa"/>
            <w:vAlign w:val="bottom"/>
          </w:tcPr>
          <w:p>
            <w:pPr>
              <w:spacing w:after="0"/>
              <w:rPr>
                <w:sz w:val="19"/>
                <w:szCs w:val="19"/>
                <w:color w:val="auto"/>
              </w:rPr>
            </w:pPr>
          </w:p>
        </w:tc>
        <w:tc>
          <w:tcPr>
            <w:tcW w:w="9320" w:type="dxa"/>
            <w:vAlign w:val="bottom"/>
            <w:gridSpan w:val="2"/>
          </w:tcPr>
          <w:p>
            <w:pPr>
              <w:ind w:left="140"/>
              <w:spacing w:after="0"/>
              <w:rPr>
                <w:sz w:val="20"/>
                <w:szCs w:val="20"/>
                <w:color w:val="auto"/>
              </w:rPr>
            </w:pPr>
            <w:r>
              <w:rPr>
                <w:rFonts w:ascii="Arial" w:cs="Arial" w:eastAsia="Arial" w:hAnsi="Arial"/>
                <w:sz w:val="18"/>
                <w:szCs w:val="18"/>
                <w:color w:val="auto"/>
              </w:rPr>
              <w:t>Purchased and core technology</w:t>
            </w: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18,100</w:t>
            </w:r>
          </w:p>
        </w:tc>
      </w:tr>
      <w:tr>
        <w:trPr>
          <w:trHeight w:val="229"/>
        </w:trPr>
        <w:tc>
          <w:tcPr>
            <w:tcW w:w="20" w:type="dxa"/>
            <w:vAlign w:val="bottom"/>
          </w:tcPr>
          <w:p>
            <w:pPr>
              <w:spacing w:after="0"/>
              <w:rPr>
                <w:sz w:val="19"/>
                <w:szCs w:val="19"/>
                <w:color w:val="auto"/>
              </w:rPr>
            </w:pPr>
          </w:p>
        </w:tc>
        <w:tc>
          <w:tcPr>
            <w:tcW w:w="9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29"/>
        </w:trPr>
        <w:tc>
          <w:tcPr>
            <w:tcW w:w="20" w:type="dxa"/>
            <w:vAlign w:val="bottom"/>
          </w:tcPr>
          <w:p>
            <w:pPr>
              <w:spacing w:after="0"/>
              <w:rPr>
                <w:sz w:val="19"/>
                <w:szCs w:val="19"/>
                <w:color w:val="auto"/>
              </w:rPr>
            </w:pPr>
          </w:p>
        </w:tc>
        <w:tc>
          <w:tcPr>
            <w:tcW w:w="9320" w:type="dxa"/>
            <w:vAlign w:val="bottom"/>
            <w:gridSpan w:val="2"/>
          </w:tcPr>
          <w:p>
            <w:pPr>
              <w:ind w:left="140"/>
              <w:spacing w:after="0"/>
              <w:rPr>
                <w:sz w:val="20"/>
                <w:szCs w:val="20"/>
                <w:color w:val="auto"/>
              </w:rPr>
            </w:pPr>
            <w:r>
              <w:rPr>
                <w:rFonts w:ascii="Arial" w:cs="Arial" w:eastAsia="Arial" w:hAnsi="Arial"/>
                <w:sz w:val="18"/>
                <w:szCs w:val="18"/>
                <w:color w:val="auto"/>
              </w:rPr>
              <w:t>Deferred tax liability on identifiable intangible assets</w:t>
            </w: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(27,126)</w:t>
            </w:r>
          </w:p>
        </w:tc>
      </w:tr>
      <w:tr>
        <w:trPr>
          <w:trHeight w:val="230"/>
        </w:trPr>
        <w:tc>
          <w:tcPr>
            <w:tcW w:w="20" w:type="dxa"/>
            <w:vAlign w:val="bottom"/>
          </w:tcPr>
          <w:p>
            <w:pPr>
              <w:spacing w:after="0"/>
              <w:rPr>
                <w:sz w:val="19"/>
                <w:szCs w:val="19"/>
                <w:color w:val="auto"/>
              </w:rPr>
            </w:pPr>
          </w:p>
        </w:tc>
        <w:tc>
          <w:tcPr>
            <w:tcW w:w="9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57,088</w:t>
            </w:r>
          </w:p>
        </w:tc>
      </w:tr>
      <w:tr>
        <w:trPr>
          <w:trHeight w:val="223"/>
        </w:trPr>
        <w:tc>
          <w:tcPr>
            <w:tcW w:w="20" w:type="dxa"/>
            <w:vAlign w:val="bottom"/>
          </w:tcPr>
          <w:p>
            <w:pPr>
              <w:spacing w:after="0"/>
              <w:rPr>
                <w:sz w:val="19"/>
                <w:szCs w:val="19"/>
                <w:color w:val="auto"/>
              </w:rPr>
            </w:pPr>
          </w:p>
        </w:tc>
        <w:tc>
          <w:tcPr>
            <w:tcW w:w="93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153,158</w:t>
            </w: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condensed consolidated balance sheet as of June 30, 2021 reflects the final allocation of the purchase price to the assets acquired and liabilities assumed based on their estimated fair values at the date of acquisition.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3. EARNINGS PER SHARE</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is a reconciliation of the numerators and denominators in the net income per common share calculations (in thousands, except per common share data):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5"/>
          </w:tcPr>
          <w:p>
            <w:pPr>
              <w:ind w:left="16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2680" w:type="dxa"/>
            <w:vAlign w:val="bottom"/>
            <w:gridSpan w:val="4"/>
          </w:tcPr>
          <w:p>
            <w:pPr>
              <w:jc w:val="right"/>
              <w:ind w:right="370"/>
              <w:spacing w:after="0"/>
              <w:rPr>
                <w:sz w:val="20"/>
                <w:szCs w:val="20"/>
                <w:color w:val="auto"/>
              </w:rPr>
            </w:pPr>
            <w:r>
              <w:rPr>
                <w:rFonts w:ascii="Arial" w:cs="Arial" w:eastAsia="Arial" w:hAnsi="Arial"/>
                <w:sz w:val="18"/>
                <w:szCs w:val="18"/>
                <w:color w:val="auto"/>
                <w:w w:val="95"/>
              </w:rPr>
              <w:t>Nine months ended June 30,</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46"/>
        </w:trPr>
        <w:tc>
          <w:tcPr>
            <w:tcW w:w="5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2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Denominator for basic net income per common share — weighted</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34,057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28,772</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 and restricted stock units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155"/>
        </w:trPr>
        <w:tc>
          <w:tcPr>
            <w:tcW w:w="5220" w:type="dxa"/>
            <w:vAlign w:val="bottom"/>
          </w:tcPr>
          <w:p>
            <w:pPr>
              <w:ind w:left="140"/>
              <w:spacing w:after="0" w:line="156" w:lineRule="exact"/>
              <w:rPr>
                <w:sz w:val="20"/>
                <w:szCs w:val="20"/>
                <w:color w:val="auto"/>
              </w:rPr>
            </w:pPr>
            <w:r>
              <w:rPr>
                <w:rFonts w:ascii="Arial" w:cs="Arial" w:eastAsia="Arial" w:hAnsi="Arial"/>
                <w:sz w:val="18"/>
                <w:szCs w:val="18"/>
                <w:color w:val="auto"/>
                <w:w w:val="95"/>
              </w:rPr>
              <w:t>Denominator for diluted net income per common share — adjusted</w:t>
            </w:r>
          </w:p>
        </w:tc>
        <w:tc>
          <w:tcPr>
            <w:tcW w:w="2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35,148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29,187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32,706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29,477</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 average shares</w:t>
            </w:r>
          </w:p>
        </w:tc>
        <w:tc>
          <w:tcPr>
            <w:tcW w:w="2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Net income per common share, basic</w:t>
            </w:r>
          </w:p>
        </w:tc>
        <w:tc>
          <w:tcPr>
            <w:tcW w:w="2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common share,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three months ended June 30, 2021 and 2020, there were 41,540 and 2,241,860 potentially dilutive shares, respectively. For the nine months ended June 30, 2021 and 2020, there were 37,248 and 1,146,581 potentially dilutive shares, respectively. These potentially dilutive shares were related to stock options to purchase common shares that were not included in the above computation of diluted earnings per common share since the options' exercise prices were greater than the average market price of our common shares.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4. SELECTED BALANCE SHEET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selected balance sheet data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w w:val="94"/>
              </w:rPr>
              <w:t>September 30,</w:t>
            </w:r>
          </w:p>
        </w:tc>
        <w:tc>
          <w:tcPr>
            <w:tcW w:w="0" w:type="dxa"/>
            <w:vAlign w:val="bottom"/>
          </w:tcPr>
          <w:p>
            <w:pPr>
              <w:spacing w:after="0"/>
              <w:rPr>
                <w:sz w:val="1"/>
                <w:szCs w:val="1"/>
                <w:color w:val="auto"/>
              </w:rPr>
            </w:pPr>
          </w:p>
        </w:tc>
      </w:tr>
      <w:tr>
        <w:trPr>
          <w:trHeight w:val="229"/>
        </w:trPr>
        <w:tc>
          <w:tcPr>
            <w:tcW w:w="128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48,596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65,027</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allowance for credit losses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reserve for future credit returns and pricing adjustments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37,559</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5. FAIR VALUE MEASUREMENTS</w:t>
      </w:r>
    </w:p>
    <w:p>
      <w:pPr>
        <w:spacing w:after="0" w:line="18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Financial assets and liabilities are classified in the following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5. FAIR VALUE MEASUREMENTS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financial liabilities that are measured at fair value on a recurring basis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94"/>
              </w:rPr>
              <w:t>Total Fair</w:t>
            </w:r>
          </w:p>
        </w:tc>
        <w:tc>
          <w:tcPr>
            <w:tcW w:w="240" w:type="dxa"/>
            <w:vAlign w:val="bottom"/>
          </w:tcPr>
          <w:p>
            <w:pPr>
              <w:spacing w:after="0"/>
              <w:rPr>
                <w:sz w:val="16"/>
                <w:szCs w:val="16"/>
                <w:color w:val="auto"/>
              </w:rPr>
            </w:pPr>
          </w:p>
        </w:tc>
        <w:tc>
          <w:tcPr>
            <w:tcW w:w="2960" w:type="dxa"/>
            <w:vAlign w:val="bottom"/>
            <w:gridSpan w:val="6"/>
          </w:tcPr>
          <w:p>
            <w:pPr>
              <w:ind w:left="760"/>
              <w:spacing w:after="0"/>
              <w:rPr>
                <w:sz w:val="20"/>
                <w:szCs w:val="20"/>
                <w:color w:val="auto"/>
              </w:rPr>
            </w:pPr>
            <w:r>
              <w:rPr>
                <w:rFonts w:ascii="Arial" w:cs="Arial" w:eastAsia="Arial" w:hAnsi="Arial"/>
                <w:sz w:val="17"/>
                <w:szCs w:val="17"/>
                <w:color w:val="auto"/>
                <w:w w:val="89"/>
              </w:rPr>
              <w:t>Fair Value Measurements Using</w:t>
            </w:r>
          </w:p>
        </w:tc>
        <w:tc>
          <w:tcPr>
            <w:tcW w:w="1000" w:type="dxa"/>
            <w:vAlign w:val="bottom"/>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Value at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color w:val="auto"/>
              </w:rPr>
              <w:t>Inputs Considered as</w:t>
            </w:r>
          </w:p>
        </w:tc>
        <w:tc>
          <w:tcPr>
            <w:tcW w:w="1000" w:type="dxa"/>
            <w:vAlign w:val="bottom"/>
            <w:tcBorders>
              <w:bottom w:val="single" w:sz="8" w:color="auto"/>
            </w:tcBorders>
          </w:tcPr>
          <w:p>
            <w:pPr>
              <w:spacing w:after="0"/>
              <w:rPr>
                <w:sz w:val="18"/>
                <w:szCs w:val="18"/>
                <w:color w:val="auto"/>
              </w:rPr>
            </w:pPr>
          </w:p>
        </w:tc>
      </w:tr>
      <w:tr>
        <w:trPr>
          <w:trHeight w:val="209"/>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June 30, 2021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Level 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Level 2</w:t>
            </w:r>
          </w:p>
        </w:tc>
        <w:tc>
          <w:tcPr>
            <w:tcW w:w="440" w:type="dxa"/>
            <w:vAlign w:val="bottom"/>
          </w:tcPr>
          <w:p>
            <w:pPr>
              <w:spacing w:after="0"/>
              <w:rPr>
                <w:sz w:val="18"/>
                <w:szCs w:val="18"/>
                <w:color w:val="auto"/>
              </w:rPr>
            </w:pPr>
          </w:p>
        </w:tc>
        <w:tc>
          <w:tcPr>
            <w:tcW w:w="1000" w:type="dxa"/>
            <w:vAlign w:val="bottom"/>
          </w:tcPr>
          <w:p>
            <w:pPr>
              <w:jc w:val="right"/>
              <w:ind w:right="375"/>
              <w:spacing w:after="0"/>
              <w:rPr>
                <w:sz w:val="20"/>
                <w:szCs w:val="20"/>
                <w:color w:val="auto"/>
              </w:rPr>
            </w:pPr>
            <w:r>
              <w:rPr>
                <w:rFonts w:ascii="Arial" w:cs="Arial" w:eastAsia="Arial" w:hAnsi="Arial"/>
                <w:sz w:val="17"/>
                <w:szCs w:val="17"/>
                <w:color w:val="auto"/>
                <w:w w:val="94"/>
              </w:rPr>
              <w:t>Level 3</w:t>
            </w:r>
          </w:p>
        </w:tc>
      </w:tr>
      <w:tr>
        <w:trPr>
          <w:trHeight w:val="19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7"/>
                <w:szCs w:val="17"/>
                <w:color w:val="auto"/>
              </w:rPr>
              <w:t>Contingent consideration on acquired business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5,900</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5,900</w:t>
            </w:r>
          </w:p>
        </w:tc>
      </w:tr>
      <w:tr>
        <w:trPr>
          <w:trHeight w:val="235"/>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liabilities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4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94"/>
              </w:rPr>
              <w:t>Total Fair</w:t>
            </w:r>
          </w:p>
        </w:tc>
        <w:tc>
          <w:tcPr>
            <w:tcW w:w="240" w:type="dxa"/>
            <w:vAlign w:val="bottom"/>
          </w:tcPr>
          <w:p>
            <w:pPr>
              <w:spacing w:after="0"/>
              <w:rPr>
                <w:sz w:val="22"/>
                <w:szCs w:val="22"/>
                <w:color w:val="auto"/>
              </w:rPr>
            </w:pPr>
          </w:p>
        </w:tc>
        <w:tc>
          <w:tcPr>
            <w:tcW w:w="2960" w:type="dxa"/>
            <w:vAlign w:val="bottom"/>
            <w:gridSpan w:val="6"/>
          </w:tcPr>
          <w:p>
            <w:pPr>
              <w:ind w:left="760"/>
              <w:spacing w:after="0"/>
              <w:rPr>
                <w:sz w:val="20"/>
                <w:szCs w:val="20"/>
                <w:color w:val="auto"/>
              </w:rPr>
            </w:pPr>
            <w:r>
              <w:rPr>
                <w:rFonts w:ascii="Arial" w:cs="Arial" w:eastAsia="Arial" w:hAnsi="Arial"/>
                <w:sz w:val="17"/>
                <w:szCs w:val="17"/>
                <w:color w:val="auto"/>
                <w:w w:val="89"/>
              </w:rPr>
              <w:t>Fair Value Measurements Using</w:t>
            </w:r>
          </w:p>
        </w:tc>
        <w:tc>
          <w:tcPr>
            <w:tcW w:w="1000" w:type="dxa"/>
            <w:vAlign w:val="bottom"/>
          </w:tcPr>
          <w:p>
            <w:pPr>
              <w:spacing w:after="0"/>
              <w:rPr>
                <w:sz w:val="22"/>
                <w:szCs w:val="22"/>
                <w:color w:val="auto"/>
              </w:rPr>
            </w:pP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Value at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color w:val="auto"/>
              </w:rPr>
              <w:t>Inputs Considered as</w:t>
            </w:r>
          </w:p>
        </w:tc>
        <w:tc>
          <w:tcPr>
            <w:tcW w:w="1000" w:type="dxa"/>
            <w:vAlign w:val="bottom"/>
            <w:tcBorders>
              <w:bottom w:val="single" w:sz="8" w:color="auto"/>
            </w:tcBorders>
          </w:tcPr>
          <w:p>
            <w:pPr>
              <w:spacing w:after="0"/>
              <w:rPr>
                <w:sz w:val="18"/>
                <w:szCs w:val="18"/>
                <w:color w:val="auto"/>
              </w:rPr>
            </w:pPr>
          </w:p>
        </w:tc>
      </w:tr>
      <w:tr>
        <w:trPr>
          <w:trHeight w:val="209"/>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September 30, 2020</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Level 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color w:val="auto"/>
              </w:rPr>
              <w:t>Level 2</w:t>
            </w:r>
          </w:p>
        </w:tc>
        <w:tc>
          <w:tcPr>
            <w:tcW w:w="440" w:type="dxa"/>
            <w:vAlign w:val="bottom"/>
          </w:tcPr>
          <w:p>
            <w:pPr>
              <w:spacing w:after="0"/>
              <w:rPr>
                <w:sz w:val="18"/>
                <w:szCs w:val="18"/>
                <w:color w:val="auto"/>
              </w:rPr>
            </w:pPr>
          </w:p>
        </w:tc>
        <w:tc>
          <w:tcPr>
            <w:tcW w:w="1000" w:type="dxa"/>
            <w:vAlign w:val="bottom"/>
          </w:tcPr>
          <w:p>
            <w:pPr>
              <w:jc w:val="right"/>
              <w:ind w:right="375"/>
              <w:spacing w:after="0"/>
              <w:rPr>
                <w:sz w:val="20"/>
                <w:szCs w:val="20"/>
                <w:color w:val="auto"/>
              </w:rPr>
            </w:pPr>
            <w:r>
              <w:rPr>
                <w:rFonts w:ascii="Arial" w:cs="Arial" w:eastAsia="Arial" w:hAnsi="Arial"/>
                <w:sz w:val="17"/>
                <w:szCs w:val="17"/>
                <w:color w:val="auto"/>
                <w:w w:val="94"/>
              </w:rPr>
              <w:t>Level 3</w:t>
            </w:r>
          </w:p>
        </w:tc>
      </w:tr>
      <w:tr>
        <w:trPr>
          <w:trHeight w:val="19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6"/>
        </w:trPr>
        <w:tc>
          <w:tcPr>
            <w:tcW w:w="4960" w:type="dxa"/>
            <w:vAlign w:val="bottom"/>
          </w:tcPr>
          <w:p>
            <w:pPr>
              <w:ind w:left="140"/>
              <w:spacing w:after="0"/>
              <w:rPr>
                <w:sz w:val="20"/>
                <w:szCs w:val="20"/>
                <w:color w:val="auto"/>
              </w:rPr>
            </w:pPr>
            <w:r>
              <w:rPr>
                <w:rFonts w:ascii="Arial" w:cs="Arial" w:eastAsia="Arial" w:hAnsi="Arial"/>
                <w:sz w:val="17"/>
                <w:szCs w:val="17"/>
                <w:color w:val="auto"/>
              </w:rPr>
              <w:t>Contingent consideration on acquired business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4,228</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4,228</w:t>
            </w:r>
          </w:p>
        </w:tc>
      </w:tr>
      <w:tr>
        <w:trPr>
          <w:trHeight w:val="234"/>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liabilities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connection with our acquisition of Bluenica Corporation ("Bluenica") in October 2015, we agreed to make contingent earn-out payments over a period of up to 4 years, subject to achieving specified revenue thresholds for sales of Bluenica products. We paid the final installment of $2.9 million during the third quarter of fiscal 2020.</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our acquisition of Accelerated Concepts, Inc. ("Accelerated") in January 2018, we agreed to make contingent earn-out payments if specified revenue thresholds for sales of Accelerated products were achieved. We paid the first installment payment of $3.5 million in the third quarter of fiscal 2019. We paid the final installment of $2.4 million in the third quarter of fiscal 2020. The earn-out period for this acquisition ended on January 22, 2020.</w:t>
      </w:r>
    </w:p>
    <w:p>
      <w:pPr>
        <w:spacing w:after="0" w:line="146"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In connection with our acquisition of Opengear, we agreed to make contingent payments, based upon certain revenue thresholds (see Note 2 to the condensed consolidated financial statements). We paid the first installment of $0.9 million during the third quarter of fiscal 2020. We paid the final installment of $10.0 million during the second quarter of fiscal 2021.</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our acquisition of Haxiot, we agreed to make contingent earn-out payments, based upon certain revenue thresholds (see Note 2 to the condensed consolidated financial statements). In the fiscal third quarter of fiscal 2021, the preliminary purchase price allocation was updated, including related determination of fair value and income tax implications. As a result, we adjusted goodwill to $8.6 million and adjusted contingent consideration to $5.9 million on our balance sheet at June 30, 2021.</w:t>
      </w:r>
    </w:p>
    <w:p>
      <w:pPr>
        <w:spacing w:after="0" w:line="16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presents a reconciliation of the contingent consideration liability measured at fair value on a recurring basis using significant unobservable inputs (Level 3)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Three months ended June 30,</w:t>
            </w:r>
          </w:p>
        </w:tc>
        <w:tc>
          <w:tcPr>
            <w:tcW w:w="280" w:type="dxa"/>
            <w:vAlign w:val="bottom"/>
          </w:tcPr>
          <w:p>
            <w:pPr>
              <w:spacing w:after="0"/>
              <w:rPr>
                <w:sz w:val="20"/>
                <w:szCs w:val="20"/>
                <w:color w:val="auto"/>
              </w:rPr>
            </w:pPr>
          </w:p>
        </w:tc>
        <w:tc>
          <w:tcPr>
            <w:tcW w:w="2680" w:type="dxa"/>
            <w:vAlign w:val="bottom"/>
            <w:gridSpan w:val="4"/>
          </w:tcPr>
          <w:p>
            <w:pPr>
              <w:jc w:val="right"/>
              <w:ind w:right="37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Contingent consideration recognized for acquired business</w:t>
            </w:r>
          </w:p>
        </w:tc>
        <w:tc>
          <w:tcPr>
            <w:tcW w:w="260" w:type="dxa"/>
            <w:vAlign w:val="bottom"/>
          </w:tcPr>
          <w:p>
            <w:pPr>
              <w:spacing w:after="0"/>
              <w:rPr>
                <w:sz w:val="19"/>
                <w:szCs w:val="19"/>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payments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 *</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99FF99"/>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200" w:firstLine="8"/>
        <w:spacing w:after="0" w:line="273"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change in fair value for the three months ended June 30, 2021, totaling ($2,100) represents an adjustment to our preliminary purchase price of Haxiot that does not impact our condensed consolidated statement of operations.</w:t>
      </w:r>
    </w:p>
    <w:p>
      <w:pPr>
        <w:spacing w:after="0" w:line="20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change in fair value of contingent consideration reflects our estimates of the probabilities of achieving the relevant targets and is discounted based on our estimated discount rate. Due to the timing of the acquisition, the fair value of the contingent consideration at June 30, 2021 is based on the probability of achieving the specified revenue thresholds for Haxiot.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740" w:firstLine="8"/>
        <w:spacing w:after="0" w:line="430"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 NET Amortizable intangible assets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7"/>
              </w:rPr>
              <w:t>June 30, 2021</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color w:val="auto"/>
                <w:w w:val="89"/>
              </w:rPr>
              <w:t>September 30, 2020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9"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Accum.</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6"/>
              </w:rPr>
              <w:t>Accum.</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3"/>
              </w:rPr>
              <w:t>carrying</w:t>
            </w: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amount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amort.</w:t>
            </w: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9"/>
              </w:rPr>
              <w:t>amount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amort.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and 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20,529</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License agreements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trademarks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125,500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91,268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225,059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(103,811)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121,248</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Amortization expense was $4.1 million and $4.1 million for the three months ended June 30, 2021 and 2020, respectively, and $12.0 million and $10.7 million for the nine months ended June 30, 2021 and 2020, respectively. Amortization expense is recorded on our condensed consolidated statements of operations within cost of sales and in general and administrative expense.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Estimated amortization expense related to intangible assets for the remainder of fiscal 2021 and the five succeeding fiscal years is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(six months)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0" w:type="dxa"/>
            <w:vAlign w:val="bottom"/>
            <w:gridSpan w:val="4"/>
          </w:tcPr>
          <w:p>
            <w:pPr>
              <w:spacing w:after="0"/>
              <w:rPr>
                <w:sz w:val="20"/>
                <w:szCs w:val="20"/>
                <w:color w:val="auto"/>
              </w:rPr>
            </w:pPr>
            <w:r>
              <w:rPr>
                <w:rFonts w:ascii="Arial" w:cs="Arial" w:eastAsia="Arial" w:hAnsi="Arial"/>
                <w:sz w:val="18"/>
                <w:szCs w:val="18"/>
                <w:color w:val="auto"/>
              </w:rPr>
              <w:t>The changes in the carrying amount of goodwill by reportable segments are (in thousands):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ind w:left="1620"/>
              <w:spacing w:after="0"/>
              <w:rPr>
                <w:sz w:val="20"/>
                <w:szCs w:val="20"/>
                <w:color w:val="auto"/>
              </w:rPr>
            </w:pPr>
            <w:r>
              <w:rPr>
                <w:rFonts w:ascii="Arial" w:cs="Arial" w:eastAsia="Arial" w:hAnsi="Arial"/>
                <w:sz w:val="18"/>
                <w:szCs w:val="18"/>
                <w:color w:val="auto"/>
                <w:w w:val="96"/>
              </w:rPr>
              <w:t>Nine months ended June 30,</w:t>
            </w: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9"/>
              </w:rPr>
              <w:t>IoT</w:t>
            </w:r>
          </w:p>
        </w:tc>
        <w:tc>
          <w:tcPr>
            <w:tcW w:w="300" w:type="dxa"/>
            <w:vAlign w:val="bottom"/>
          </w:tcPr>
          <w:p>
            <w:pPr>
              <w:spacing w:after="0"/>
              <w:rPr>
                <w:sz w:val="14"/>
                <w:szCs w:val="14"/>
                <w:color w:val="auto"/>
              </w:rPr>
            </w:pPr>
          </w:p>
        </w:tc>
        <w:tc>
          <w:tcPr>
            <w:tcW w:w="1460" w:type="dxa"/>
            <w:vAlign w:val="bottom"/>
            <w:gridSpan w:val="2"/>
          </w:tcPr>
          <w:p>
            <w:pPr>
              <w:jc w:val="center"/>
              <w:ind w:right="400"/>
              <w:spacing w:after="0" w:line="169" w:lineRule="exact"/>
              <w:rPr>
                <w:sz w:val="20"/>
                <w:szCs w:val="20"/>
                <w:color w:val="auto"/>
              </w:rPr>
            </w:pPr>
            <w:r>
              <w:rPr>
                <w:rFonts w:ascii="Arial" w:cs="Arial" w:eastAsia="Arial" w:hAnsi="Arial"/>
                <w:sz w:val="18"/>
                <w:szCs w:val="18"/>
                <w:color w:val="auto"/>
                <w:w w:val="99"/>
              </w:rPr>
              <w:t>IoT</w:t>
            </w:r>
          </w:p>
        </w:tc>
        <w:tc>
          <w:tcPr>
            <w:tcW w:w="5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Products and Services</w:t>
            </w:r>
          </w:p>
        </w:tc>
        <w:tc>
          <w:tcPr>
            <w:tcW w:w="300" w:type="dxa"/>
            <w:vAlign w:val="bottom"/>
          </w:tcPr>
          <w:p>
            <w:pPr>
              <w:spacing w:after="0"/>
              <w:rPr>
                <w:sz w:val="19"/>
                <w:szCs w:val="19"/>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Solutions</w:t>
            </w:r>
          </w:p>
        </w:tc>
        <w:tc>
          <w:tcPr>
            <w:tcW w:w="5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on September 30, 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160,365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49,770</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8,617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(see Note 2)</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50,621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2 reportable segments, our IoT Products &amp; Services segment and our IoT Solutions segment (see Note 9). Effective with the reorganization announcement on October 7, 2020 (see Note 14), our IoT Products &amp; Services business is now structured to include four reporting units under the IoT Products &amp; Services segment, each with a reporting manager: Cellular Routers, Console Servers, OEM Solutions and Infrastructure Management. We have four reporting units along with our IoT Solutions segment that have been tested individually for impairment.</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Due to the reorganization on October 7, 2020 (see Note 14), we performed our fiscal third quarter 2021 annual impairment test by reporting unit. As a result, we tested Cellular Routers, Console Servers, OEM Solutions, Infrastructure Management and IOT Solutions units which constitute separate reporting units for purposes of the ASC 350-20-35 "Goodwill Measurement of Impairment" assessment, which were tested individually for impairment in fiscal third quarter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our quantitative goodwill impairment tests, we determine the estimated fair value of each reporting unit and compare it to the carrying value of the reporting unit, including goodwill. If the carrying amount of a reporting unit is higher than its estimated fair value, then an impairment loss must be recognized for the excess. Fair values for the five reporting units were each estimated on a standalone basis using a weighted combination of the income approach and market approach.</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6. GOODWILL AND OTHER INTANGIBLE ASSETS, NET (CONTINUED)</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income approach indicates the fair value of a business based on the value of the cash flows the business or asset can be expected to generate in the future. A commonly used variation of the income approach used to value a business is the discounted cash flow (“DCF”) method. The DCF method is a valuation technique in which the value of a business is estimated on the earnings capacity, or available cash flow, of that business. Earnings capacity represents the earnings available for distribution to stockholders after consideration of the reinvestment required for future growth. Significant judgment is required to estimate the amount and timing of future cash flows for each reporting unit and the relative risk of achieving those cash flows.</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market approach indicates the fair value of a business or asset based on a comparison of the business or asset to comparable publicly traded companies or assets and transactions in its industry as well as our prior acquisitions. This approach can be estimated through the guideline company method. This method indicates fair value of a business by comparing it to publicly traded companies in similar lines of business. After identifying and selecting the guideline companies, we make judgments about the comparability of the companies based on size, growth rates, profitability, risk, and return on investment in order to estimate market multiples. These multiples are then applied to the reporting units to estimate a fair value.</w:t>
      </w:r>
    </w:p>
    <w:p>
      <w:pPr>
        <w:spacing w:after="0" w:line="13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negatively affect the estimated fair values. We will continue to monitor potential COVID-19 industry and demand impacts as this could potentially affect our cash flows and market capitalization.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our Fiscal 2021 Annual Impairment Test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we had a total of $32.7 million of goodwill for the Enterprise Routers reporting unit, $60.2 million of goodwill for the Console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Servers reporting unit, $63.4 million of goodwill for the OEM Solutions reporting unit, $15.4 million of goodwill for the Infrastructure Mgmt. reporting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unit and $49.5 million of goodwill for the IoT Solutions reporting unit. At June 30, 2021, fair value exceeded the carrying value by more than 20% for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five reporting units. Implied fair values for both reporting units were each calculated on a standalone basis using a weighted combination of the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approach and market approach. The implied fair values of each reporting unit were added together along with our unallocated assets to get an indicated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of total equity to which a range of indicated value of total equity was derived. This range was compared to the total market capitalization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$686.3 million as of June 30, 2021. This implied a range of control (deficit)/ premiums of (4.5)% to 5.4%. This range of control premiums fell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premiums observed in the last five years in the communications equipment industry. As a result, the market capitalization reconciliation analysis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proved support for the reasonableness of the fair values estimated for each individual reporting unit.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7. INDEBTEDNESS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March 15, 2021, we entered into an amended and restated credit agreement with BMO Harris Bank N.A. ("BMO"). This agreement provides us with a senior secured credit facility (the "Credit Facility") consisting of a $200 million revolving loan (the "Revolving Loan"). This loan replaced our syndicated senior secured credit agreement with BMO that was entered into on December 13, 2019 and replaced the remaining balance of our term loan with this new revolver. This prior agreement provided us with committed credit facilities ("Prior Credit Facility") totaling $150 million, which included a $50 million term loan and a $100 million revolving loan. We may use the Revolving Loan for working capital, capital expenditures, restricted payments and acquisitions permitted under the agreement.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Borrowings under the Credit Facility bear a variable interest rate of LIBOR plus an applicable margin spread from 1.25% to 3.25%. The amount of the applicable margin spread is a function of our leverage ratio and is reset monthly. In addition to paying interest on the outstanding balance under the Credit Facility, we are required to pay a commitment fee on the non-utilized commitments thereunder which is also reported in interest expense. Our weighted average interest rate at June 30, 2021 was 0.47%.</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additional debt issuance costs and remaining balance under the Prior Credit Facility totaled $2.6 million and is being amortized using the straight-line method over the term of the loan and reported in interest expense.</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Revolving Loan is due in a lump sum payment at maturity on March 15, 2026. The fair value of the Revolving Loan approximated carrying value at June 30, 2021.</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90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966"/>
        </w:trPr>
        <w:tc>
          <w:tcPr>
            <w:tcW w:w="9040" w:type="dxa"/>
            <w:vAlign w:val="bottom"/>
            <w:gridSpan w:val="3"/>
          </w:tcPr>
          <w:p>
            <w:pPr>
              <w:spacing w:after="0"/>
              <w:rPr>
                <w:sz w:val="20"/>
                <w:szCs w:val="20"/>
                <w:color w:val="auto"/>
              </w:rPr>
            </w:pPr>
            <w:r>
              <w:rPr>
                <w:rFonts w:ascii="Arial" w:cs="Arial" w:eastAsia="Arial" w:hAnsi="Arial"/>
                <w:sz w:val="18"/>
                <w:szCs w:val="18"/>
                <w:color w:val="auto"/>
              </w:rPr>
              <w:t>7. INDEBTEDNESS (CONTINUED)</w:t>
            </w: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9040" w:type="dxa"/>
            <w:vAlign w:val="bottom"/>
            <w:gridSpan w:val="3"/>
          </w:tcPr>
          <w:p>
            <w:pPr>
              <w:spacing w:after="0"/>
              <w:rPr>
                <w:sz w:val="20"/>
                <w:szCs w:val="20"/>
                <w:color w:val="auto"/>
              </w:rPr>
            </w:pPr>
            <w:r>
              <w:rPr>
                <w:rFonts w:ascii="Arial" w:cs="Arial" w:eastAsia="Arial" w:hAnsi="Arial"/>
                <w:sz w:val="18"/>
                <w:szCs w:val="18"/>
                <w:color w:val="auto"/>
              </w:rPr>
              <w:t>The following table is a summary of our long-term indebtedness at June 30, 2021 (in thousands):</w:t>
            </w: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08"/>
        </w:trPr>
        <w:tc>
          <w:tcPr>
            <w:tcW w:w="40" w:type="dxa"/>
            <w:vAlign w:val="bottom"/>
          </w:tcPr>
          <w:p>
            <w:pPr>
              <w:spacing w:after="0"/>
              <w:rPr>
                <w:sz w:val="9"/>
                <w:szCs w:val="9"/>
                <w:color w:val="auto"/>
              </w:rPr>
            </w:pPr>
          </w:p>
        </w:tc>
        <w:tc>
          <w:tcPr>
            <w:tcW w:w="900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30"/>
        </w:trPr>
        <w:tc>
          <w:tcPr>
            <w:tcW w:w="40" w:type="dxa"/>
            <w:vAlign w:val="bottom"/>
          </w:tcPr>
          <w:p>
            <w:pPr>
              <w:spacing w:after="0"/>
              <w:rPr>
                <w:sz w:val="19"/>
                <w:szCs w:val="19"/>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48,118</w:t>
            </w:r>
          </w:p>
        </w:tc>
      </w:tr>
      <w:tr>
        <w:trPr>
          <w:trHeight w:val="223"/>
        </w:trPr>
        <w:tc>
          <w:tcPr>
            <w:tcW w:w="40" w:type="dxa"/>
            <w:vAlign w:val="bottom"/>
          </w:tcPr>
          <w:p>
            <w:pPr>
              <w:spacing w:after="0"/>
              <w:rPr>
                <w:sz w:val="19"/>
                <w:szCs w:val="19"/>
                <w:color w:val="auto"/>
              </w:rPr>
            </w:pPr>
          </w:p>
        </w:tc>
        <w:tc>
          <w:tcPr>
            <w:tcW w:w="9000" w:type="dxa"/>
            <w:vAlign w:val="bottom"/>
            <w:gridSpan w:val="2"/>
          </w:tcPr>
          <w:p>
            <w:pPr>
              <w:ind w:left="120"/>
              <w:spacing w:after="0"/>
              <w:rPr>
                <w:sz w:val="20"/>
                <w:szCs w:val="20"/>
                <w:color w:val="auto"/>
              </w:rPr>
            </w:pPr>
            <w:r>
              <w:rPr>
                <w:rFonts w:ascii="Arial" w:cs="Arial" w:eastAsia="Arial" w:hAnsi="Arial"/>
                <w:sz w:val="18"/>
                <w:szCs w:val="18"/>
                <w:color w:val="auto"/>
              </w:rPr>
              <w:t>Total loans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48,118</w:t>
            </w:r>
          </w:p>
        </w:tc>
      </w:tr>
      <w:tr>
        <w:trPr>
          <w:trHeight w:val="230"/>
        </w:trPr>
        <w:tc>
          <w:tcPr>
            <w:tcW w:w="40" w:type="dxa"/>
            <w:vAlign w:val="bottom"/>
          </w:tcPr>
          <w:p>
            <w:pPr>
              <w:spacing w:after="0"/>
              <w:rPr>
                <w:sz w:val="19"/>
                <w:szCs w:val="19"/>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issuance costs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r>
      <w:tr>
        <w:trPr>
          <w:trHeight w:val="229"/>
        </w:trPr>
        <w:tc>
          <w:tcPr>
            <w:tcW w:w="40" w:type="dxa"/>
            <w:vAlign w:val="bottom"/>
          </w:tcPr>
          <w:p>
            <w:pPr>
              <w:spacing w:after="0"/>
              <w:rPr>
                <w:sz w:val="19"/>
                <w:szCs w:val="19"/>
                <w:color w:val="auto"/>
              </w:rPr>
            </w:pPr>
          </w:p>
        </w:tc>
        <w:tc>
          <w:tcPr>
            <w:tcW w:w="9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maturities of long-term debt</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0" w:type="dxa"/>
            <w:vAlign w:val="bottom"/>
          </w:tcPr>
          <w:p>
            <w:pPr>
              <w:spacing w:after="0"/>
              <w:rPr>
                <w:sz w:val="21"/>
                <w:szCs w:val="21"/>
                <w:color w:val="auto"/>
              </w:rPr>
            </w:pPr>
          </w:p>
        </w:tc>
        <w:tc>
          <w:tcPr>
            <w:tcW w:w="9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 net of current portion</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45,670</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and Security Interest</w:t>
      </w:r>
    </w:p>
    <w:p>
      <w:pPr>
        <w:spacing w:after="0" w:line="18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agreements governing the Credit Facility contain a number of covenants. Among other thing, these covenants require us to maintain a certain financial ratio (net leverage ratio and minimum fixed charge ratio). At June 30, 2021, we were in compliance with our debt covenants. Amounts borrowed under the Credit Facility are secured by substantially all of our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During March 2021 we sold 4,025,000 shares of our common stock at a public offering price of $19.50 per share. The shares offered were registered pursuant to a registration statement that we filed with the Securities and Exchange Commission. We received net proceeds of $73.8 million, net of transaction expenses of $0.3 million related to the public offering. We intend to use the proceeds for working capital and general corporate purposes. We may, in the future, use the proceeds to acquire or invest in complementary businesses, products and technologies.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9. SEGMENT INFORMATION</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two reportable segments: IoT Products &amp; Services and IoT Solutions. Effective with the reorganization announcement on October 7, 2020 (see Note 14), our IoT Products &amp; Services business is now structured to include four operating segments, each with a segment manager. These four operating segments include:</w:t>
      </w:r>
    </w:p>
    <w:p>
      <w:pPr>
        <w:spacing w:after="0" w:line="143" w:lineRule="exact"/>
        <w:rPr>
          <w:sz w:val="20"/>
          <w:szCs w:val="20"/>
          <w:color w:val="auto"/>
        </w:rPr>
      </w:pPr>
    </w:p>
    <w:p>
      <w:pPr>
        <w:ind w:left="660" w:right="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Cellular Routers - box devices (fully enclosed) that provide connectivity typically in a place where the device can be plugged in exclusively using cellular communications.</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Console Servers - similar to cellular routers except they are exclusively for edge computing installations and data center applications exclusively using cellular communications.</w:t>
      </w:r>
    </w:p>
    <w:p>
      <w:pPr>
        <w:spacing w:after="0" w:line="129"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OEM Solutions - Original Equipment Manufacturers ("OEM") will be a chip, rather than a boxed device. This can come in the form of a stand-alone chip, or from a systems-on-module ("SOMs"). While cellular connectivity is used, other communication protocols can be used such as Zigbee, Bluetooth or Radio-Frequency ("RF") based on application.</w:t>
      </w:r>
    </w:p>
    <w:p>
      <w:pPr>
        <w:spacing w:after="0" w:line="143"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Infrastructure Management - includes battery operated, cellular enabled connect sensors as well as other types of console server applications that are more Digi Accelerated Linux ("DAL") based than Console Servers. This operating segment has some products that do not use cellular communications, but a large part of this segment does use cellular communications.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9. SEGMENT INFORMATION (CONTINUED)</w:t>
      </w:r>
    </w:p>
    <w:p>
      <w:pPr>
        <w:spacing w:after="0" w:line="200" w:lineRule="exact"/>
        <w:rPr>
          <w:sz w:val="20"/>
          <w:szCs w:val="20"/>
          <w:color w:val="auto"/>
        </w:rPr>
      </w:pPr>
    </w:p>
    <w:p>
      <w:pPr>
        <w:spacing w:after="0" w:line="241"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The four operating segments have similar qualitative and quantitative factors which allow us to aggregate them under the IoT Products &amp; Services reportable segment. The qualitative factors include similar nature of products and services, production process, type or class of customers and methods used to distribute the products. The quantitative factors include similar operating margins. Our CODM reviews and makes business decisions which includes a primary review of operating income but also includes gross profit. Thus, our measure of segment profit or loss used by our CODM changed. The shared general and administrative costs are now allocated to each operating segment. As a result, our disclosed measure of segment operating income has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been updated for all periods presented. The change to the business segment operating income aligns with the update to how the CODM assesses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and allocates resources for our business segments.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Summary operating results for each of our segments were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4"/>
              </w:rPr>
              <w:t>Three months ended June 30,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ind w:left="280"/>
              <w:spacing w:after="0"/>
              <w:rPr>
                <w:sz w:val="20"/>
                <w:szCs w:val="20"/>
                <w:color w:val="auto"/>
              </w:rPr>
            </w:pPr>
            <w:r>
              <w:rPr>
                <w:rFonts w:ascii="Arial" w:cs="Arial" w:eastAsia="Arial" w:hAnsi="Arial"/>
                <w:sz w:val="18"/>
                <w:szCs w:val="18"/>
                <w:color w:val="auto"/>
              </w:rPr>
              <w:t>Nine months ended June 30,</w:t>
            </w:r>
          </w:p>
        </w:tc>
        <w:tc>
          <w:tcPr>
            <w:tcW w:w="0" w:type="dxa"/>
            <w:vAlign w:val="bottom"/>
          </w:tcPr>
          <w:p>
            <w:pPr>
              <w:spacing w:after="0"/>
              <w:rPr>
                <w:sz w:val="1"/>
                <w:szCs w:val="1"/>
                <w:color w:val="auto"/>
              </w:rPr>
            </w:pPr>
          </w:p>
        </w:tc>
      </w:tr>
      <w:tr>
        <w:trPr>
          <w:trHeight w:val="223"/>
        </w:trPr>
        <w:tc>
          <w:tcPr>
            <w:tcW w:w="4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Products &amp;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63,472</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194,224</w:t>
            </w:r>
          </w:p>
        </w:tc>
        <w:tc>
          <w:tcPr>
            <w:tcW w:w="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IoT Solutions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229,526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Products &amp;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33,899</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106,942</w:t>
            </w:r>
          </w:p>
        </w:tc>
        <w:tc>
          <w:tcPr>
            <w:tcW w:w="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IoT Solutions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gross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124,031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106,454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Products &amp;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IoT Solutions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(4,712)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IoT Products &amp;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IoT Solutions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220" w:type="dxa"/>
            <w:vAlign w:val="bottom"/>
            <w:gridSpan w:val="3"/>
          </w:tcPr>
          <w:p>
            <w:pPr>
              <w:spacing w:after="0"/>
              <w:rPr>
                <w:sz w:val="20"/>
                <w:szCs w:val="20"/>
                <w:color w:val="auto"/>
              </w:rPr>
            </w:pPr>
            <w:r>
              <w:rPr>
                <w:rFonts w:ascii="Arial" w:cs="Arial" w:eastAsia="Arial" w:hAnsi="Arial"/>
                <w:sz w:val="18"/>
                <w:szCs w:val="18"/>
                <w:color w:val="auto"/>
                <w:w w:val="93"/>
              </w:rPr>
              <w:t>Total expended for property, plant and equipment was (in thousands):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7"/>
          </w:tcPr>
          <w:p>
            <w:pPr>
              <w:ind w:left="220"/>
              <w:spacing w:after="0"/>
              <w:rPr>
                <w:sz w:val="20"/>
                <w:szCs w:val="20"/>
                <w:color w:val="auto"/>
              </w:rPr>
            </w:pPr>
            <w:r>
              <w:rPr>
                <w:rFonts w:ascii="Arial" w:cs="Arial" w:eastAsia="Arial" w:hAnsi="Arial"/>
                <w:sz w:val="18"/>
                <w:szCs w:val="18"/>
                <w:color w:val="auto"/>
              </w:rPr>
              <w:t>Nine months ended June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2021</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IoT Products &amp; Services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IoT Solutions*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9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expended for property, plant and equipment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 Excluded from this amount is $1,624 and $1,202 of transfers of inventory to property plant and equipment for subscriber assets for the nine months ended June 30, 2021 and 2020,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Total assets for each of our segments were (in thousands):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w w:val="93"/>
              </w:rPr>
              <w:t>September 30,</w:t>
            </w:r>
          </w:p>
        </w:tc>
      </w:tr>
      <w:tr>
        <w:trPr>
          <w:trHeight w:val="230"/>
        </w:trPr>
        <w:tc>
          <w:tcPr>
            <w:tcW w:w="4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36"/>
        </w:trPr>
        <w:tc>
          <w:tcPr>
            <w:tcW w:w="4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IoT Products &amp; Services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387,578</w:t>
            </w:r>
          </w:p>
        </w:tc>
      </w:tr>
      <w:tr>
        <w:trPr>
          <w:trHeight w:val="229"/>
        </w:trPr>
        <w:tc>
          <w:tcPr>
            <w:tcW w:w="40" w:type="dxa"/>
            <w:vAlign w:val="bottom"/>
          </w:tcPr>
          <w:p>
            <w:pPr>
              <w:spacing w:after="0"/>
              <w:rPr>
                <w:sz w:val="19"/>
                <w:szCs w:val="19"/>
                <w:color w:val="auto"/>
              </w:rPr>
            </w:pPr>
          </w:p>
        </w:tc>
        <w:tc>
          <w:tcPr>
            <w:tcW w:w="7920" w:type="dxa"/>
            <w:vAlign w:val="bottom"/>
          </w:tcPr>
          <w:p>
            <w:pPr>
              <w:ind w:left="120"/>
              <w:spacing w:after="0"/>
              <w:rPr>
                <w:sz w:val="20"/>
                <w:szCs w:val="20"/>
                <w:color w:val="auto"/>
              </w:rPr>
            </w:pPr>
            <w:r>
              <w:rPr>
                <w:rFonts w:ascii="Arial" w:cs="Arial" w:eastAsia="Arial" w:hAnsi="Arial"/>
                <w:sz w:val="18"/>
                <w:szCs w:val="18"/>
                <w:color w:val="auto"/>
              </w:rPr>
              <w:t>IoT Solutions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86,975</w:t>
            </w:r>
          </w:p>
        </w:tc>
      </w:tr>
      <w:tr>
        <w:trPr>
          <w:trHeight w:val="230"/>
        </w:trPr>
        <w:tc>
          <w:tcPr>
            <w:tcW w:w="40" w:type="dxa"/>
            <w:vAlign w:val="bottom"/>
          </w:tcPr>
          <w:p>
            <w:pPr>
              <w:spacing w:after="0"/>
              <w:rPr>
                <w:sz w:val="19"/>
                <w:szCs w:val="19"/>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Unallocated*</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54,129</w:t>
            </w:r>
          </w:p>
        </w:tc>
      </w:tr>
      <w:tr>
        <w:trPr>
          <w:trHeight w:val="223"/>
        </w:trPr>
        <w:tc>
          <w:tcPr>
            <w:tcW w:w="4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528,682</w:t>
            </w:r>
          </w:p>
        </w:tc>
      </w:tr>
      <w:tr>
        <w:trPr>
          <w:trHeight w:val="20"/>
        </w:trPr>
        <w:tc>
          <w:tcPr>
            <w:tcW w:w="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*Unallocated consists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10.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geographic location of our customers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5"/>
          </w:tcPr>
          <w:p>
            <w:pPr>
              <w:ind w:left="14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2680" w:type="dxa"/>
            <w:vAlign w:val="bottom"/>
            <w:gridSpan w:val="4"/>
          </w:tcPr>
          <w:p>
            <w:pPr>
              <w:jc w:val="right"/>
              <w:ind w:right="37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 primarily the 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Europe, Middle East &amp; Africa</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29,428</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19,161</w:t>
            </w: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79,079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206,102</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the timing of revenue recognition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5"/>
          </w:tcPr>
          <w:p>
            <w:pPr>
              <w:ind w:left="14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2680" w:type="dxa"/>
            <w:vAlign w:val="bottom"/>
            <w:gridSpan w:val="4"/>
          </w:tcPr>
          <w:p>
            <w:pPr>
              <w:jc w:val="right"/>
              <w:ind w:right="37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at a point in time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186,739</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19,363</w:t>
            </w:r>
          </w:p>
        </w:tc>
      </w:tr>
      <w:tr>
        <w:trPr>
          <w:trHeight w:val="248"/>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8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Contract assets consist of subscriber assets. These subscriber assets relate to fees in certain contracts that we charge our customers so they can begin using equipment. In these cases, we retain the ownership of the equipment that the customer uses. The total net book value of subscriber assets of $2.2 million and $2.2 million as of June 30, 2021 and September 30, 2020, respectively, are included in property, equipment and improvements, net. Depreciation expense for these subscriber assets, which is included in cost of sales, was $0.5 million and $0.4 million for the three months ended June 30, 2021 and June 30, 2020, respectively and $1.4 million and $1.1 million for the nine months ended June 30, 2021 and June 30, 2020, respectively. We depreciate the cost of this equipment over its useful life (typically three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98" w:lineRule="exact"/>
        <w:rPr>
          <w:sz w:val="20"/>
          <w:szCs w:val="20"/>
          <w:color w:val="auto"/>
        </w:rPr>
      </w:pPr>
    </w:p>
    <w:p>
      <w:pPr>
        <w:ind w:right="100"/>
        <w:spacing w:after="0" w:line="317" w:lineRule="auto"/>
        <w:rPr>
          <w:sz w:val="20"/>
          <w:szCs w:val="20"/>
          <w:color w:val="auto"/>
        </w:rPr>
      </w:pPr>
      <w:r>
        <w:rPr>
          <w:rFonts w:ascii="Arial" w:cs="Arial" w:eastAsia="Arial" w:hAnsi="Arial"/>
          <w:sz w:val="16"/>
          <w:szCs w:val="16"/>
          <w:color w:val="auto"/>
        </w:rPr>
        <w:t>The timing of revenue recognition may differ from the timing of invoicing to customers. Customers are invoiced for subscription services in advance on a monthly, quarterly or annual basis. Contract liabilities consist of unearned revenue related to annual or multi-year contracts for subscription services and related implementation fees. These pertain to our IoT Solutions segment and our Digi Remote Manager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services in our IoT Products &amp; Services segment.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Changes in unearned revenue were (in thousands):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ind w:left="14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4"/>
                <w:szCs w:val="24"/>
                <w:color w:val="auto"/>
              </w:rPr>
            </w:pPr>
          </w:p>
        </w:tc>
        <w:tc>
          <w:tcPr>
            <w:tcW w:w="2680" w:type="dxa"/>
            <w:vAlign w:val="bottom"/>
            <w:gridSpan w:val="4"/>
          </w:tcPr>
          <w:p>
            <w:pPr>
              <w:jc w:val="right"/>
              <w:ind w:right="37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revenue, beginning of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3"/>
              </w:rPr>
              <w:t>8,702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Billings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470"/>
              <w:spacing w:after="0"/>
              <w:rPr>
                <w:sz w:val="20"/>
                <w:szCs w:val="20"/>
                <w:color w:val="auto"/>
              </w:rPr>
            </w:pPr>
            <w:r>
              <w:rPr>
                <w:rFonts w:ascii="Arial" w:cs="Arial" w:eastAsia="Arial" w:hAnsi="Arial"/>
                <w:sz w:val="18"/>
                <w:szCs w:val="18"/>
                <w:color w:val="auto"/>
                <w:w w:val="93"/>
              </w:rPr>
              <w:t>5,256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24,810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1"/>
              </w:rPr>
              <w:t>(7,530)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(23,407)</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Unearned revenue,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3"/>
              </w:rPr>
              <w:t>6,428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w:t>
            </w:r>
          </w:p>
        </w:tc>
      </w:tr>
      <w:tr>
        <w:trPr>
          <w:trHeight w:val="21"/>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Transaction Price</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Transaction price allocated to the remaining performance obligations represents contracted revenue that has not been recognized. This includes unearned revenue and unbilled amounts that will be recognized as revenue in future periods. As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June 30, 2021, approximately $14.8 million of revenue is expected to be recognized from remaining performance obligations for subscription contracts. We expect to recognize revenue on approximately $13.0 million of remaining performance obligations over the next twelve months. Revenue from the remaining performance obligations we expect to recognize over a range of two to seven years.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11. INCOME TAXES</w:t>
      </w:r>
    </w:p>
    <w:p>
      <w:pPr>
        <w:spacing w:after="0" w:line="18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income tax expense was $0.2 million for the nine months ended June 30, 2021. Included in this expense was a net tax benefit discretely related to the nine months ended June 30, 2021 of $1.0 million. This benefit primarily was the result of excess tax benefits recognized on stock compensation.</w:t>
      </w:r>
    </w:p>
    <w:p>
      <w:pPr>
        <w:spacing w:after="0" w:line="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 benefit was $0.9 million for the nine months ended June 30, 2020. Included in this benefit was a net tax benefit discretely related to the nine months ended June 30, 2020 of $1.1 million. This benefit primarily was the result of excess tax benefits recognized on stock compensation and an adjustment of our state deferred tax rate due to the Opengear acquisition. For the nine months ended June 30, 2020, our effective tax rate before items discretely related to the period was less than the U.S. statutory rate. This was primarily due to certain research and development tax credits generated in the U.S.</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effective tax rate will vary based on a variety of factors. These include our overall profitability, the geographical mix of income before taxes and related statutory tax rate in each jurisdiction, and tax items discretely related to the period, such as settlements of audits. We may record other benefits or expenses in the future that are specific to a particular quarter such as expiration of statutes of limitation, the completion of tax audits, or legislation that is enacted in both U.S. and foreign jurisdictions.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(in thousands):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08"/>
        </w:trPr>
        <w:tc>
          <w:tcPr>
            <w:tcW w:w="9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as of September 30, 2020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Decreases related to:</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9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Expiration of statute of limitations</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3"/>
        </w:trPr>
        <w:tc>
          <w:tcPr>
            <w:tcW w:w="9980" w:type="dxa"/>
            <w:vAlign w:val="bottom"/>
          </w:tcPr>
          <w:p>
            <w:pPr>
              <w:ind w:left="20"/>
              <w:spacing w:after="0"/>
              <w:rPr>
                <w:sz w:val="20"/>
                <w:szCs w:val="20"/>
                <w:color w:val="auto"/>
              </w:rPr>
            </w:pPr>
            <w:r>
              <w:rPr>
                <w:rFonts w:ascii="Arial" w:cs="Arial" w:eastAsia="Arial" w:hAnsi="Arial"/>
                <w:sz w:val="18"/>
                <w:szCs w:val="18"/>
                <w:color w:val="auto"/>
              </w:rPr>
              <w:t>Unrecognized tax benefits as of June 30, 2021</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r>
      <w:tr>
        <w:trPr>
          <w:trHeight w:val="21"/>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total amount of unrecognized tax benefits at June 30, 2021 that, if recognized, would affect our effective tax rate was $2.2 million, after considering the impact of interest and deferred benefit items. We expect that the total amount of unrecognized tax benefits will decrease by approximately $0.1 million over the next 12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12. PRODUCT WARRANTY OBLIGATION</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tables summarize the activity associated with the product warranty accrual (in thousands) and is included on our condensed consolidated balance sheets within current liabilities: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 at</w:t>
            </w:r>
          </w:p>
        </w:tc>
        <w:tc>
          <w:tcPr>
            <w:tcW w:w="2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Warranties</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Settlements</w:t>
            </w:r>
          </w:p>
        </w:tc>
        <w:tc>
          <w:tcPr>
            <w:tcW w:w="22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9"/>
              </w:rPr>
              <w:t>Balance at</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Period</w:t>
            </w:r>
          </w:p>
        </w:tc>
        <w:tc>
          <w:tcPr>
            <w:tcW w:w="16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April 1</w:t>
            </w: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issued</w:t>
            </w: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made</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7"/>
              </w:rPr>
              <w:t>June 30</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Three months ended June 30, 2020</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538"/>
        </w:trPr>
        <w:tc>
          <w:tcPr>
            <w:tcW w:w="4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 at</w:t>
            </w: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Warranties</w:t>
            </w: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Settlements</w:t>
            </w:r>
          </w:p>
        </w:tc>
        <w:tc>
          <w:tcPr>
            <w:tcW w:w="2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9"/>
              </w:rPr>
              <w:t>Balance at</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Period</w:t>
            </w:r>
          </w:p>
        </w:tc>
        <w:tc>
          <w:tcPr>
            <w:tcW w:w="16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October 1</w:t>
            </w: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issued</w:t>
            </w: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made</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7"/>
              </w:rPr>
              <w:t>June 30</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Nine months ended June 30,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Nine months ended June 30, 2020</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887</w:t>
            </w: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13. LEASES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of our leases are operating leases and primarily consist of leases for office space. For any lease with an initial term in excess of twelve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components for all classes of assets. Leases with an initial term of twelve months or less are not recorded on the condensed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Instead we recognize lease expense for these leases on a straight-line basis over the lease term.</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w:t>
      </w:r>
    </w:p>
    <w:p>
      <w:pPr>
        <w:spacing w:after="0" w:line="14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information available at the commencement date, including the lease term, in determining the present value of future payments. When determining our right-of-use asset, we generally do not include options to extend or terminate the lease unless it is reasonably certain that the option will be exercised.</w:t>
      </w:r>
    </w:p>
    <w:p>
      <w:pPr>
        <w:spacing w:after="0" w:line="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supplemental balance sheet information related to our leases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580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Sheet Location</w:t>
            </w:r>
          </w:p>
        </w:tc>
        <w:tc>
          <w:tcPr>
            <w:tcW w:w="3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w w:val="93"/>
              </w:rPr>
              <w:t>September 30,</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58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leases</w:t>
            </w:r>
          </w:p>
        </w:tc>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w:t>
            </w:r>
          </w:p>
        </w:tc>
        <w:tc>
          <w:tcPr>
            <w:tcW w:w="0" w:type="dxa"/>
            <w:vAlign w:val="bottom"/>
          </w:tcPr>
          <w:p>
            <w:pPr>
              <w:spacing w:after="0"/>
              <w:rPr>
                <w:sz w:val="1"/>
                <w:szCs w:val="1"/>
                <w:color w:val="auto"/>
              </w:rPr>
            </w:pP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assets</w:t>
            </w:r>
          </w:p>
        </w:tc>
        <w:tc>
          <w:tcPr>
            <w:tcW w:w="5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16,193</w:t>
            </w:r>
          </w:p>
        </w:tc>
        <w:tc>
          <w:tcPr>
            <w:tcW w:w="0" w:type="dxa"/>
            <w:vAlign w:val="bottom"/>
          </w:tcPr>
          <w:p>
            <w:pPr>
              <w:spacing w:after="0"/>
              <w:rPr>
                <w:sz w:val="1"/>
                <w:szCs w:val="1"/>
                <w:color w:val="auto"/>
              </w:rPr>
            </w:pPr>
          </w:p>
        </w:tc>
      </w:tr>
      <w:tr>
        <w:trPr>
          <w:trHeight w:val="223"/>
        </w:trPr>
        <w:tc>
          <w:tcPr>
            <w:tcW w:w="2200" w:type="dxa"/>
            <w:vAlign w:val="bottom"/>
          </w:tcPr>
          <w:p>
            <w:pPr>
              <w:ind w:left="140"/>
              <w:spacing w:after="0"/>
              <w:rPr>
                <w:sz w:val="20"/>
                <w:szCs w:val="20"/>
                <w:color w:val="auto"/>
              </w:rPr>
            </w:pPr>
            <w:r>
              <w:rPr>
                <w:rFonts w:ascii="Arial" w:cs="Arial" w:eastAsia="Arial" w:hAnsi="Arial"/>
                <w:sz w:val="18"/>
                <w:szCs w:val="18"/>
                <w:color w:val="auto"/>
              </w:rPr>
              <w:t>Total lease liabilities</w:t>
            </w:r>
          </w:p>
        </w:tc>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were the components of our lease cost which is recorded in both cost of goods sold and selling, general and administrative expense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Nine months ended June 30,</w:t>
            </w:r>
          </w:p>
        </w:tc>
      </w:tr>
      <w:tr>
        <w:trPr>
          <w:trHeight w:val="223"/>
        </w:trPr>
        <w:tc>
          <w:tcPr>
            <w:tcW w:w="47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r>
      <w:tr>
        <w:trPr>
          <w:trHeight w:val="20"/>
        </w:trPr>
        <w:tc>
          <w:tcPr>
            <w:tcW w:w="47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99"/>
        </w:trPr>
        <w:tc>
          <w:tcPr>
            <w:tcW w:w="7400" w:type="dxa"/>
            <w:vAlign w:val="bottom"/>
            <w:gridSpan w:val="5"/>
          </w:tcPr>
          <w:p>
            <w:pPr>
              <w:spacing w:after="0"/>
              <w:rPr>
                <w:sz w:val="20"/>
                <w:szCs w:val="20"/>
                <w:color w:val="auto"/>
              </w:rPr>
            </w:pPr>
            <w:r>
              <w:rPr>
                <w:rFonts w:ascii="Arial" w:cs="Arial" w:eastAsia="Arial" w:hAnsi="Arial"/>
                <w:sz w:val="18"/>
                <w:szCs w:val="18"/>
                <w:color w:val="auto"/>
                <w:w w:val="95"/>
              </w:rPr>
              <w:t>The following table presents supplemental information related to operating leases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Nine months ended June 30,</w:t>
            </w:r>
          </w:p>
        </w:tc>
      </w:tr>
      <w:tr>
        <w:trPr>
          <w:trHeight w:val="223"/>
        </w:trPr>
        <w:tc>
          <w:tcPr>
            <w:tcW w:w="47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48"/>
        </w:trPr>
        <w:tc>
          <w:tcPr>
            <w:tcW w:w="63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9"/>
              </w:rPr>
              <w:t>Cash paid for amounts included in the measurement of operating lease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0"/>
        </w:trPr>
        <w:tc>
          <w:tcPr>
            <w:tcW w:w="570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700" w:type="dxa"/>
            <w:vAlign w:val="bottom"/>
            <w:gridSpan w:val="2"/>
          </w:tcPr>
          <w:p>
            <w:pPr>
              <w:ind w:left="20"/>
              <w:spacing w:after="0" w:line="203" w:lineRule="exact"/>
              <w:rPr>
                <w:sz w:val="20"/>
                <w:szCs w:val="20"/>
                <w:color w:val="auto"/>
              </w:rPr>
            </w:pPr>
            <w:r>
              <w:rPr>
                <w:rFonts w:ascii="Arial" w:cs="Arial" w:eastAsia="Arial" w:hAnsi="Arial"/>
                <w:sz w:val="18"/>
                <w:szCs w:val="18"/>
                <w:color w:val="auto"/>
                <w:w w:val="94"/>
              </w:rPr>
              <w:t>Right-of-use assets obtained in exchange for new operating lease liabilities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3,919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593</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tenant improvement allowance</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June 30, 2021 the weighted average remaining lease term of our operating leases was 7.0 years and the weighted average discount rate for these leases was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13. LEASES (CONTINUED)</w:t>
      </w:r>
    </w:p>
    <w:p>
      <w:pPr>
        <w:spacing w:after="0" w:line="1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as well as all the remaining years to the operating lease liabilities recorded on the condensed consolidated balance sheet as of June 30, 2021 (in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Amount</w:t>
            </w:r>
          </w:p>
        </w:tc>
      </w:tr>
      <w:tr>
        <w:trPr>
          <w:trHeight w:val="223"/>
        </w:trPr>
        <w:tc>
          <w:tcPr>
            <w:tcW w:w="9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3,368</w:t>
            </w:r>
          </w:p>
        </w:tc>
      </w:tr>
      <w:tr>
        <w:trPr>
          <w:trHeight w:val="229"/>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r>
      <w:tr>
        <w:trPr>
          <w:trHeight w:val="229"/>
        </w:trPr>
        <w:tc>
          <w:tcPr>
            <w:tcW w:w="91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2,918</w:t>
            </w:r>
          </w:p>
        </w:tc>
      </w:tr>
      <w:tr>
        <w:trPr>
          <w:trHeight w:val="23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r>
      <w:tr>
        <w:trPr>
          <w:trHeight w:val="229"/>
        </w:trPr>
        <w:tc>
          <w:tcPr>
            <w:tcW w:w="9100" w:type="dxa"/>
            <w:vAlign w:val="bottom"/>
          </w:tcPr>
          <w:p>
            <w:pPr>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2,591</w:t>
            </w:r>
          </w:p>
        </w:tc>
      </w:tr>
      <w:tr>
        <w:trPr>
          <w:trHeight w:val="230"/>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future undiscounted lease payments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25,885</w:t>
            </w:r>
          </w:p>
        </w:tc>
      </w:tr>
      <w:tr>
        <w:trPr>
          <w:trHeight w:val="230"/>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reported lease liability</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r>
      <w:tr>
        <w:trPr>
          <w:trHeight w:val="21"/>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14. RESTRUCTURING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Q1 FY2021 Restructuring</w:t>
      </w:r>
    </w:p>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October 7, 2020, our Board of Directors approved a reorganization of our IoT Products &amp; Services business segment. The restructuring plan aligns the business segment's organization around product lines. Under this plan, we recorded a charge of $0.7 million for employee termination charges and eliminated 19 employment positions primarily in the U.S. during the three months ended December 31, 2020. In the second quarter of fiscal 2021 we recorded an additional $0.2 million related to this restructuring. In the third quarter of fiscal 2021 we recorded an additional $0.1 million related to this restructuring.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restructuring charges and other activity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520" w:type="dxa"/>
            <w:vAlign w:val="bottom"/>
          </w:tcPr>
          <w:p>
            <w:pPr>
              <w:spacing w:after="0"/>
              <w:rPr>
                <w:sz w:val="18"/>
                <w:szCs w:val="18"/>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1"/>
              </w:rPr>
              <w:t>Q1 2021 Restructuring</w:t>
            </w:r>
          </w:p>
        </w:tc>
      </w:tr>
      <w:tr>
        <w:trPr>
          <w:trHeight w:val="158"/>
        </w:trPr>
        <w:tc>
          <w:tcPr>
            <w:tcW w:w="9520" w:type="dxa"/>
            <w:vAlign w:val="bottom"/>
          </w:tcPr>
          <w:p>
            <w:pPr>
              <w:spacing w:after="0"/>
              <w:rPr>
                <w:sz w:val="13"/>
                <w:szCs w:val="13"/>
                <w:color w:val="auto"/>
              </w:rPr>
            </w:pPr>
          </w:p>
        </w:tc>
        <w:tc>
          <w:tcPr>
            <w:tcW w:w="1720" w:type="dxa"/>
            <w:vAlign w:val="bottom"/>
            <w:gridSpan w:val="2"/>
          </w:tcPr>
          <w:p>
            <w:pPr>
              <w:jc w:val="center"/>
              <w:spacing w:after="0" w:line="158" w:lineRule="exact"/>
              <w:rPr>
                <w:sz w:val="20"/>
                <w:szCs w:val="20"/>
                <w:color w:val="auto"/>
              </w:rPr>
            </w:pPr>
            <w:r>
              <w:rPr>
                <w:rFonts w:ascii="Arial" w:cs="Arial" w:eastAsia="Arial" w:hAnsi="Arial"/>
                <w:sz w:val="17"/>
                <w:szCs w:val="17"/>
                <w:color w:val="auto"/>
                <w:w w:val="91"/>
              </w:rPr>
              <w:t>Employee Termination</w:t>
            </w:r>
          </w:p>
        </w:tc>
      </w:tr>
      <w:tr>
        <w:trPr>
          <w:trHeight w:val="216"/>
        </w:trPr>
        <w:tc>
          <w:tcPr>
            <w:tcW w:w="95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14"/>
              <w:spacing w:after="0"/>
              <w:rPr>
                <w:sz w:val="20"/>
                <w:szCs w:val="20"/>
                <w:color w:val="auto"/>
              </w:rPr>
            </w:pPr>
            <w:r>
              <w:rPr>
                <w:rFonts w:ascii="Arial" w:cs="Arial" w:eastAsia="Arial" w:hAnsi="Arial"/>
                <w:sz w:val="17"/>
                <w:szCs w:val="17"/>
                <w:color w:val="auto"/>
                <w:w w:val="87"/>
              </w:rPr>
              <w:t>Costs</w:t>
            </w:r>
          </w:p>
        </w:tc>
      </w:tr>
      <w:tr>
        <w:trPr>
          <w:trHeight w:val="210"/>
        </w:trPr>
        <w:tc>
          <w:tcPr>
            <w:tcW w:w="9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September 30, 2020</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9520" w:type="dxa"/>
            <w:vAlign w:val="bottom"/>
          </w:tcPr>
          <w:p>
            <w:pPr>
              <w:ind w:left="20"/>
              <w:spacing w:after="0"/>
              <w:rPr>
                <w:sz w:val="20"/>
                <w:szCs w:val="20"/>
                <w:color w:val="auto"/>
              </w:rPr>
            </w:pPr>
            <w:r>
              <w:rPr>
                <w:rFonts w:ascii="Arial" w:cs="Arial" w:eastAsia="Arial" w:hAnsi="Arial"/>
                <w:sz w:val="17"/>
                <w:szCs w:val="17"/>
                <w:color w:val="auto"/>
              </w:rPr>
              <w:t>Restructuring charge</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995</w:t>
            </w:r>
          </w:p>
        </w:tc>
      </w:t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w:t>
            </w:r>
          </w:p>
        </w:tc>
      </w:tr>
      <w:tr>
        <w:trPr>
          <w:trHeight w:val="216"/>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currency fluctuation</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2021</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lease certain of our buildings and equipment under noncancelable lease agreements. Please refer to Note 13 to our condensed consolidated financial statements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2018, DimOnOff Inc., a company headquartered in Quebec City, Quebec, Canada ("DimOnOff"), which sells control systems in the building automation and street lighting markets sued us and a former distributor from whom DimOnOff purchased certain Digi products. The suit was brought in the Superior Court of the Province of Quebec in the District of Quebec (Canada) and alleges certain Digi products it purchased and incorporated into street lighting systems in a Canadian city were defective causing some of the street lights to malfunction. It alleged damages of just over CAD 1.0 million. During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 (CONTINUED)</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second quarter of fiscal 2021, the lawsuit was settled and no payment will be made by us. However, we will be providing DimOnOff reduced product pricing on a limited number of products for an amount substantially lower than what was claimed in the lawsuit.</w:t>
      </w:r>
    </w:p>
    <w:p>
      <w:pPr>
        <w:spacing w:after="0" w:line="37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addition to the matter discussed above, 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16. STOCK-BASED COMPENSATION</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Stock-based awards were granted under the 2021 Omnibus Incentive Plan (the "2021 Plan") beginning January 29, 2021. Prior to that date, such awards made in fiscal 2021 were granted under the 2020 Omnibus Incentive Plan (the "2020 Plan"). Upon stockholder approval of the 2021 Plan, we ceased granting awards under the 2020 Plan. Shares subject to awards under the 2020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2021 Plan authorizes the issuance of up to 1,400,000 common shares in connection with awards of stock options, stock appreciation rights, restricted stock, restricted stock units, performance-based full value awards or other stock-based awards. Eligible participants include our employees, our affiliates, non-employee directors of our Company and any consultant or advisor who is a natural person and provides services to us or our affiliates. Options that have been granted under the 2021 Plan typically vest over a four-year period and will expire if unexercised after seven years from the date of grant. Restricted stock unit awards ("RSUs") that have been granted to directors typically vest in one year. RSUs that have been granted to executives and employees typically vest in January over a four-year period. Performance stock unit awards ("PSUs") that have been granted to an executive will vest based on achievement of a cumulative adjusted earnings per share metric measured over a three-year period. Share-based compensation expenses recorded for this performance award is reevaluated at each reporting period based on the probability of achievement of the goal. The 2021 Plan is scheduled to expire on January 28, 2031. Options under the 2021 Plan can be granted as either incentive stock options or non-statutory stock options. The exercise price of options and the grant date price of RSUs and PSUs is determined by our Compensation Committee but will not be less than the fair market value of our common stock based on the closing price as of the date of grant. Upon exercise of options or settlement of vested restricted stock units or performance stock units, we issue new shares of stock. As of June 30, 2021, there were approximately 1,325,088 shares available for future grants under the 2021 Plan.</w:t>
      </w:r>
    </w:p>
    <w:p>
      <w:pPr>
        <w:spacing w:after="0" w:line="14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Cash received from the exercise of stock options was $7.0 million and $5.1 million for the nine months ended June 30, 2021 and June 30, 2020, respectively.</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 withholding obligations otherwise occur by the employee paying cash to us for the withholding. During the nine months ended June 30, 2021 and 2020, our employees forfeited 109,516 shares and 95,997 shares, respectively, in order to satisfy respective withholding tax obligations of $2.0 million and $1.7 million.</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to 3,425,000 that may be purchased under the plan. ESPP contributions by employees were $0.9 million for the nine months ended June 30, 2021 and $0.8 million for the nine months ended June 30, 2020. Pursuant to the ESPP, 61,302 and 90,592 common shares were issued to employees during the nine months ended June 30, 2021 and June 30, 2020, respectively. Shares are issued under the ESPP from treasury stock. As of June 30, 2021, 650,412 common shares were available for future issuances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16. STOCK-BASED COMPENSATION (CONTINUED)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stock-based compensation expense that is included in the consolidated results of operations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w w:val="99"/>
              </w:rPr>
              <w:t>Nine months ended June 30,</w:t>
            </w:r>
          </w:p>
        </w:tc>
      </w:tr>
      <w:tr>
        <w:trPr>
          <w:trHeight w:val="223"/>
        </w:trPr>
        <w:tc>
          <w:tcPr>
            <w:tcW w:w="45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1,669</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r>
      <w:tr>
        <w:trPr>
          <w:trHeight w:val="223"/>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before income taxes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r>
      <w:tr>
        <w:trPr>
          <w:trHeight w:val="248"/>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Stock-based compensation after income taxes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 option activity (in thousands, except per common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Options</w:t>
            </w: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Weighted Average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 Average</w:t>
            </w:r>
          </w:p>
        </w:tc>
        <w:tc>
          <w:tcPr>
            <w:tcW w:w="180" w:type="dxa"/>
            <w:vAlign w:val="bottom"/>
          </w:tcPr>
          <w:p>
            <w:pPr>
              <w:spacing w:after="0"/>
              <w:rPr>
                <w:sz w:val="17"/>
                <w:szCs w:val="17"/>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3"/>
              </w:rPr>
              <w:t>Aggregate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 Term (in</w:t>
            </w:r>
          </w:p>
        </w:tc>
        <w:tc>
          <w:tcPr>
            <w:tcW w:w="1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Intrinsic Value</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Exercised Price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years)</w:t>
            </w:r>
          </w:p>
        </w:tc>
        <w:tc>
          <w:tcPr>
            <w:tcW w:w="1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60" w:firstLine="8"/>
        <w:spacing w:after="0" w:line="263"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based on our closing stock price of $20.11 as of June 30, 2021, which would have been received by the option holders had all option holders exercised their options as of that date. The intrinsic value of an option is the amount by which the fair value of the underlying stock exceeds its exercise price.</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total intrinsic value of all options exercised during the nine months ended June 30, 2021 was $5.4 million and during the nine months ended June 30, 2020 was $3.4 million.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weighted average fair value, which was determined based upon the fair value of each option on the grant date utilizing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and the related assumptions: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328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color w:val="auto"/>
              </w:rPr>
              <w:t>Nine months ended June 30,</w:t>
            </w:r>
          </w:p>
        </w:tc>
      </w:tr>
      <w:tr>
        <w:trPr>
          <w:trHeight w:val="223"/>
        </w:trPr>
        <w:tc>
          <w:tcPr>
            <w:tcW w:w="79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r>
      <w:tr>
        <w:trPr>
          <w:trHeight w:val="223"/>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per option grant date fair value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$7.45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$6.18</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Assumptions used for option grants: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 free interest rate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0.51% - 1.035%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0.44% - 1.73%</w:t>
            </w: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Expected term</w:t>
            </w:r>
          </w:p>
        </w:tc>
        <w:tc>
          <w:tcPr>
            <w:tcW w:w="1760" w:type="dxa"/>
            <w:vAlign w:val="bottom"/>
            <w:gridSpan w:val="2"/>
          </w:tcPr>
          <w:p>
            <w:pPr>
              <w:ind w:left="440"/>
              <w:spacing w:after="0"/>
              <w:rPr>
                <w:sz w:val="20"/>
                <w:szCs w:val="20"/>
                <w:color w:val="auto"/>
              </w:rPr>
            </w:pPr>
            <w:r>
              <w:rPr>
                <w:rFonts w:ascii="Arial" w:cs="Arial" w:eastAsia="Arial" w:hAnsi="Arial"/>
                <w:sz w:val="18"/>
                <w:szCs w:val="18"/>
                <w:color w:val="auto"/>
              </w:rPr>
              <w:t>6.00 years</w:t>
            </w:r>
          </w:p>
        </w:tc>
        <w:tc>
          <w:tcPr>
            <w:tcW w:w="1520" w:type="dxa"/>
            <w:vAlign w:val="bottom"/>
          </w:tcPr>
          <w:p>
            <w:pPr>
              <w:ind w:left="380"/>
              <w:spacing w:after="0"/>
              <w:rPr>
                <w:sz w:val="20"/>
                <w:szCs w:val="20"/>
                <w:color w:val="auto"/>
              </w:rPr>
            </w:pPr>
            <w:r>
              <w:rPr>
                <w:rFonts w:ascii="Arial" w:cs="Arial" w:eastAsia="Arial" w:hAnsi="Arial"/>
                <w:sz w:val="18"/>
                <w:szCs w:val="18"/>
                <w:color w:val="auto"/>
              </w:rPr>
              <w:t>6.00 years</w:t>
            </w: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 - 46%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w:t>
            </w: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Weighted average volatility</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44%</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36%</w:t>
            </w: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16. STOCK-BASED COMPENSATION (CONTINUED)</w:t>
      </w:r>
    </w:p>
    <w:p>
      <w:pPr>
        <w:spacing w:after="0" w:line="19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time that options granted are expected to be outstanding. The risk-free rate used is the zero-coupon U.S. Treasury bond rate in effect at the time of the grant whose maturity equals the expected term of the option.</w:t>
      </w:r>
    </w:p>
    <w:p>
      <w:pPr>
        <w:spacing w:after="0" w:line="13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June 30, 2021, the total unrecognized compensation cost related to non-vested stock options was $6.8 million and the related weighted average period over which it is expected to be recognized is approximately 2.9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Stock Units</w:t>
      </w:r>
    </w:p>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a summary of our non-vested restricted stock and performance stock units as of June 30, 2021 and changes during the nine months then ended (in thousands, except per common share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RSUs</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PSUs</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w w:val="96"/>
              </w:rPr>
              <w:t>Number of Awards</w:t>
            </w:r>
          </w:p>
        </w:tc>
        <w:tc>
          <w:tcPr>
            <w:tcW w:w="120" w:type="dxa"/>
            <w:vAlign w:val="bottom"/>
          </w:tcPr>
          <w:p>
            <w:pPr>
              <w:spacing w:after="0"/>
              <w:rPr>
                <w:sz w:val="14"/>
                <w:szCs w:val="14"/>
                <w:color w:val="auto"/>
              </w:rPr>
            </w:pPr>
          </w:p>
        </w:tc>
        <w:tc>
          <w:tcPr>
            <w:tcW w:w="194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9"/>
              </w:rPr>
              <w:t>Weighted Average Grant</w:t>
            </w:r>
          </w:p>
        </w:tc>
        <w:tc>
          <w:tcPr>
            <w:tcW w:w="1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w w:val="96"/>
              </w:rPr>
              <w:t>Number of Awards</w:t>
            </w:r>
          </w:p>
        </w:tc>
        <w:tc>
          <w:tcPr>
            <w:tcW w:w="100" w:type="dxa"/>
            <w:vAlign w:val="bottom"/>
          </w:tcPr>
          <w:p>
            <w:pPr>
              <w:spacing w:after="0"/>
              <w:rPr>
                <w:sz w:val="14"/>
                <w:szCs w:val="14"/>
                <w:color w:val="auto"/>
              </w:rPr>
            </w:pPr>
          </w:p>
        </w:tc>
        <w:tc>
          <w:tcPr>
            <w:tcW w:w="196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93"/>
              </w:rPr>
              <w:t>Weighted Average Grant</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Date Fair Value</w:t>
            </w: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w w:val="89"/>
              </w:rPr>
              <w:t>Date Fair Value</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346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500" w:type="dxa"/>
            <w:vAlign w:val="bottom"/>
            <w:tcBorders>
              <w:bottom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June 30, 2021, the total unrecognized compensation cost related to non-vested stock units was $10.8 million. The related weighted average period over which this cost is expected to be recognized is approximately 1.6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17. SUBSEQUENT EVENTS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Ctek, Inc.</w:t>
      </w:r>
    </w:p>
    <w:p>
      <w:pPr>
        <w:spacing w:after="0" w:line="19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July 6, 2021, we acquired Ctek, Inc. ("Ctek"), a San Pedro, California-based provider that specializes in solutions for remote monitoring and industrial controls. The results of operations of Ctek will be included in our fourth quarter fiscal 2021 results within our IoT Products &amp; Services segment.</w:t>
      </w:r>
    </w:p>
    <w:p>
      <w:pPr>
        <w:spacing w:after="0" w:line="151"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The terms of the acquisition included an upfront cash payment as well as contingent consideration comprised of future earn-out payments. We funded the closing of the acquisition with $12.0 million of cash on hand. The future earn-out payments are based on revenue performance outlined in the terms of the purchase agreement for the annual periods ending December 31, 2021, December 31, 2022 and December 31, 2023. The cumulative amount of these earn-outs for the annual periods will not exceed $0.5 million, $1.0 million and $1.5 million, respectively. Due to the timing of the acquisition, the purchase price allocation, including related determinations of fair value and income tax implications, are in process.</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tax purposes, this acquisition is treated as a stock acquisition. The goodwill therefore is not deductible. Through the acquisition of Ctek, Digi is uniquely positioned to provide customers with both battery and hardwired options for the control and monitoring of critical infrastructure, from complex off-shore oil rig locations to localized deployments such as municipal park lighting. In addition, Ctek’s offering and existing client portfolio is set to further Digi’s reach in a rapidly expanding market.</w:t>
      </w:r>
    </w:p>
    <w:p>
      <w:pPr>
        <w:spacing w:after="0" w:line="21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Costs directly related to the acquisition of $0.2 million incurred in the third quarter of fiscal 2021 have been charged to operations and are included in general and administrative expense in our condensed statements of operations. These acquisition costs include legal, accounting, valuation and investment banking fees.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management's discussion and analysis should be read in conjunction with our Annual Report on Form 10-K for the fiscal year ended September 30, 2020, as well as our subsequent reports on Form 10-Q and Form 8-K and any amendments to these reports.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words such as "assume," "believe," "anticipate," "intend," "estimate," "target," "may," "will," "expect," "plan," "potential," "project," "should," or "continue" or the negative thereof or other expressions, which are predictions of or indicate future events and trends and which do not relate to historical matters, identify forward-looking statements. Among other items, these statements relate to expectations of the business environment in which Digi operates, projections of future performance, perceived marketplace opportunities and statements regarding our mission and vision. Such statements are not guarantees of future performance and involve certain risks, uncertainties and assumptions. Among others, these include risks related to the ongoing COVID-19 pandemic and efforts to mitigate the same, risks related to global economic volatility and the ability of companies like us to operate a global business in such conditions, the current supply chain and shipping market pressures that are negatively impacting both manufacturing and distribution timelines as well as operating costs for a wide range of companies globally,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defend or settle satisfactorily any litigation, uncertainty in global economic conditions and economic conditions within particular regions of the world which could negatively affect product demand and the financial solvency of customers and suppliers,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the ability to achieve the anticipated benefits and synergies associated with acquisitions or divestitures and changes in our level of revenue or profitability which can fluctuate for many reasons beyond our control.</w:t>
      </w:r>
    </w:p>
    <w:p>
      <w:pPr>
        <w:spacing w:after="0" w:line="14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These and other risks, uncertainties and assumptions identified from time to time in our filings with the United States Securities and Exchange Commission, including without limitation, our Annual Report on Form 10-K for the year ended September 30, 2020, this filing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in accordance with accounting principles generally accepted in the United States of America. The preparation of our condensed consolidated financial statements requires us to make estimates and judgments that affect the reported amounts of assets, liabilities, revenues and expenses, the disclosure of contingent assets and liabilities and the values of purchased assets and assumed liabilities in acquisitions.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description of our critical accounting policies and estimates was provided in the Management's Discussion and Analysis of Financial Condition and Results of Operations section of our Annual Report on Form 10-K for the fiscal year ended September 30, 2020.</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12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leading global provider of business and mission-critical Internet-of-Things ("IoT") connectivity products, services and solutions comprised of two reporting segments: IoT Products &amp; Services and IoT Solutions.</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IoT Products &amp; Services segment offers products and services that help original equipment manufacturers ("OEMs"), enterprise and government customers create and deploy, secure IoT connectivity solutions. From embedded and wireless modules to console servers, enterprise and industrial routers, we provide customers with a wide variety of communication sub-assemblies and finished products to meet their IoT communication requirements. In addition, the IoT Products &amp; Services segment provides our customers with a device management platform and other professional services to enable customers to capture and manage data from devices they connect to networks.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IoT Solutions segment offers wireless temperature and other condition-based monitoring services as well as task management services. These solutions are focused on the following vertical markets: food service, retail, healthcare, transportation/logistics and education. These solutions are marketed as SmartSense by Digi</w:t>
      </w:r>
      <w:r>
        <w:rPr>
          <w:rFonts w:ascii="Arial" w:cs="Arial" w:eastAsia="Arial" w:hAnsi="Arial"/>
          <w:sz w:val="22"/>
          <w:szCs w:val="22"/>
          <w:color w:val="auto"/>
          <w:vertAlign w:val="superscript"/>
        </w:rPr>
        <w:t>®</w:t>
      </w:r>
      <w:r>
        <w:rPr>
          <w:rFonts w:ascii="Arial" w:cs="Arial" w:eastAsia="Arial" w:hAnsi="Arial"/>
          <w:sz w:val="17"/>
          <w:szCs w:val="17"/>
          <w:color w:val="auto"/>
        </w:rPr>
        <w:t>. We have formed, expanded and enhanced the IoT Solutions segment through four acquisitions.</w:t>
      </w:r>
    </w:p>
    <w:p>
      <w:pPr>
        <w:spacing w:after="0" w:line="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compete for customers on the basis of existing and planned product features, service and software application capabilities, company reputation, brand recognition, technical support, alliance relationships, quality and reliability, product development capabilities, price and availability.</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7, 2020, our Board of Directors approved a reorganization of our IoT Products &amp; Services business segment. The restructuring plan aligned the business segment's organization around product lines, each with a segment manager. Under this plan, we recorded charges of $1.0 million for employee termination charges and eliminated 19 employment positions primarily in the U.S. during the first half of fiscal 2021. We have grouped our products under the following categories: Cellular Routers, Console Servers, OEM Solutions and Infrastructure Management. Consequently, the measure of segment operating profit used by our chief operating decision maker ("CODM") changed. As a result, our disclosed measure of segment operating income has been updated. For further detail on segment performance, see the Revenue by Segment, Cost of Goods Sold and Gross Profit by Segment and Operating Income sections of this Item 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fiscal 2021, our key operating objectives include:</w:t>
      </w:r>
    </w:p>
    <w:p>
      <w:pPr>
        <w:spacing w:after="0" w:line="11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growth of our SmartSense by Digi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business that is the base of our IoT Solutions segment;</w:t>
      </w:r>
    </w:p>
    <w:p>
      <w:pPr>
        <w:spacing w:after="0" w:line="64"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growth within our IoT Products &amp; Services segment through new product introductions and efforts to grow recurring revenue streams;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strategic growth initiatives through acquisition.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utilize many financial, operational, and other metrics to evaluate our financial condition and financial performance. Below we highlight the metrics for the third quarter of fiscal 2021 that we feel are most important in these evaluations:</w:t>
      </w:r>
    </w:p>
    <w:p>
      <w:pPr>
        <w:spacing w:after="0" w:line="13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Consolidated revenue increased $8.7 million, or 12.4% in the third quarter of fiscal 2021 compared to the third quarter of fiscal 2020.</w:t>
      </w:r>
    </w:p>
    <w:p>
      <w:pPr>
        <w:spacing w:after="0" w:line="19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increased as a percentage of revenue to 53.8% in the third quarter of fiscal 2021 as compared to 53.1% in the third quarter of fiscal 2020.</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Net income for the third fiscal quarter of 2021 was $3.2 million, or $0.09 per diluted share. Net income for the third fiscal quarter of 2020 was</w:t>
      </w:r>
    </w:p>
    <w:p>
      <w:pPr>
        <w:spacing w:after="0" w:line="34" w:lineRule="exact"/>
        <w:rPr>
          <w:rFonts w:ascii="Arial" w:cs="Arial" w:eastAsia="Arial" w:hAnsi="Arial"/>
          <w:sz w:val="17"/>
          <w:szCs w:val="17"/>
          <w:i w:val="1"/>
          <w:iCs w:val="1"/>
          <w:color w:val="auto"/>
        </w:rPr>
      </w:pPr>
    </w:p>
    <w:p>
      <w:pPr>
        <w:ind w:left="660"/>
        <w:spacing w:after="0" w:line="290" w:lineRule="auto"/>
        <w:rPr>
          <w:rFonts w:ascii="Arial" w:cs="Arial" w:eastAsia="Arial" w:hAnsi="Arial"/>
          <w:sz w:val="17"/>
          <w:szCs w:val="17"/>
          <w:i w:val="1"/>
          <w:iCs w:val="1"/>
          <w:color w:val="auto"/>
        </w:rPr>
      </w:pPr>
      <w:r>
        <w:rPr>
          <w:rFonts w:ascii="Arial" w:cs="Arial" w:eastAsia="Arial" w:hAnsi="Arial"/>
          <w:sz w:val="17"/>
          <w:szCs w:val="17"/>
          <w:color w:val="auto"/>
        </w:rPr>
        <w:t>$1.8 million, or $0.06 per diluted share. Adjusted net income and adjusted net income per share was $8.7 million, or $0.25 per diluted share. In the third fiscal quarter of fiscal 2020, adjusted net income and adjusted net income per share was $6.6 million, or $0.23 per diluted share.</w:t>
      </w:r>
    </w:p>
    <w:p>
      <w:pPr>
        <w:spacing w:after="0" w:line="120" w:lineRule="exact"/>
        <w:rPr>
          <w:rFonts w:ascii="Arial" w:cs="Arial" w:eastAsia="Arial" w:hAnsi="Arial"/>
          <w:sz w:val="17"/>
          <w:szCs w:val="17"/>
          <w:i w:val="1"/>
          <w:iCs w:val="1"/>
          <w:color w:val="auto"/>
        </w:rPr>
      </w:pPr>
    </w:p>
    <w:p>
      <w:pPr>
        <w:ind w:left="660" w:right="500" w:hanging="328"/>
        <w:spacing w:after="0" w:line="277"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Adjusted EBITDA for the third fiscal quarter of 2021 was $11.6 million, or 14.6% of total revenue. In the third fiscal quarter of fiscal 2020, Adjusted EBITDA was $10.5 million, or 15.0% of total revenue.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Global Events and Conditions on Our Business Results and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118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Supply Chain and Freight Transportation Disruptions</w:t>
      </w:r>
    </w:p>
    <w:p>
      <w:pPr>
        <w:spacing w:after="0" w:line="239"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Like many companies, we are experiencing disruptions in our supply chain. This has led to shortfalls in available components we need to make products and well as increased costs both to obtain components and to transport components and products. It has also lengthened the timelines for us to fulfill</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customer orders. </w:t>
      </w:r>
      <w:r>
        <w:rPr>
          <w:rFonts w:ascii="Arial" w:cs="Arial" w:eastAsia="Arial" w:hAnsi="Arial"/>
          <w:sz w:val="19"/>
          <w:szCs w:val="19"/>
          <w:color w:val="1F497D"/>
        </w:rPr>
        <w:t>T</w:t>
      </w:r>
      <w:r>
        <w:rPr>
          <w:rFonts w:ascii="Arial" w:cs="Arial" w:eastAsia="Arial" w:hAnsi="Arial"/>
          <w:sz w:val="16"/>
          <w:szCs w:val="16"/>
          <w:color w:val="auto"/>
        </w:rPr>
        <w:t>he severity of the disruptions is continuously changing, meaning the impact on our ability to meet demand for particular products in a timely manner has been subject to ebb and flow. We are taking steps to attempt to mitigate the impact of the disruptions such as placing inventory demand further out into the future to secure our allocations of components, encouraging customers to place orders earlier than normal due to longer lead times and attempting (in conjunction with customers) to influence political leaders to assure components needed to make products that are essential to the health and</w:t>
      </w:r>
    </w:p>
    <w:p>
      <w:pPr>
        <w:spacing w:after="0" w:line="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well-being of society are prioritized to our customer’s needs by suppliers. At present the ongoing duration and severity of these disruptions we are unable to predict as is the ultimate impact on our business and financial results, which could be material.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Ongoing Covid-19 Pandemic </w:t>
      </w:r>
      <w:r>
        <w:rPr>
          <w:rFonts w:ascii="Arial" w:cs="Arial" w:eastAsia="Arial" w:hAnsi="Arial"/>
          <w:sz w:val="21"/>
          <w:szCs w:val="21"/>
          <w:i w:val="1"/>
          <w:iCs w:val="1"/>
          <w:color w:val="auto"/>
        </w:rPr>
        <w:t>Impacts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ongoing pandemic and related global economic volatility continues to create significant uncertainty regarding the nearer term outlook for the markets</w:t>
      </w:r>
    </w:p>
    <w:p>
      <w:pPr>
        <w:spacing w:after="0" w:line="73" w:lineRule="exact"/>
        <w:rPr>
          <w:sz w:val="20"/>
          <w:szCs w:val="20"/>
          <w:color w:val="auto"/>
        </w:rPr>
      </w:pPr>
    </w:p>
    <w:p>
      <w:pPr>
        <w:ind w:right="300"/>
        <w:spacing w:after="0" w:line="308" w:lineRule="auto"/>
        <w:rPr>
          <w:sz w:val="20"/>
          <w:szCs w:val="20"/>
          <w:color w:val="auto"/>
        </w:rPr>
      </w:pPr>
      <w:r>
        <w:rPr>
          <w:rFonts w:ascii="Arial" w:cs="Arial" w:eastAsia="Arial" w:hAnsi="Arial"/>
          <w:sz w:val="16"/>
          <w:szCs w:val="16"/>
          <w:color w:val="auto"/>
        </w:rPr>
        <w:t>where we provide products and services. While the rollout of vaccines is well underway in many parts of the world, the pandemic (including the recent spread of more contagious variants of the virus) and related economic volatility it has caused still represents a fluid situation that presents a wide and</w:t>
      </w:r>
    </w:p>
    <w:p>
      <w:pPr>
        <w:ind w:right="260"/>
        <w:spacing w:after="0" w:line="308" w:lineRule="auto"/>
        <w:rPr>
          <w:sz w:val="20"/>
          <w:szCs w:val="20"/>
          <w:color w:val="auto"/>
        </w:rPr>
      </w:pPr>
      <w:r>
        <w:rPr>
          <w:rFonts w:ascii="Arial" w:cs="Arial" w:eastAsia="Arial" w:hAnsi="Arial"/>
          <w:sz w:val="16"/>
          <w:szCs w:val="16"/>
          <w:color w:val="auto"/>
        </w:rPr>
        <w:t>changing range of potential impacts on our own business and those of our customers, vendors and other business partners. As our products and services serve companies across a broad range of industries, in some instances demand has increased or appears to be returning to levels associated with pre-</w:t>
      </w:r>
    </w:p>
    <w:p>
      <w:pPr>
        <w:ind w:right="140"/>
        <w:spacing w:after="0" w:line="277" w:lineRule="auto"/>
        <w:rPr>
          <w:sz w:val="20"/>
          <w:szCs w:val="20"/>
          <w:color w:val="auto"/>
        </w:rPr>
      </w:pPr>
      <w:r>
        <w:rPr>
          <w:rFonts w:ascii="Arial" w:cs="Arial" w:eastAsia="Arial" w:hAnsi="Arial"/>
          <w:sz w:val="18"/>
          <w:szCs w:val="18"/>
          <w:color w:val="auto"/>
        </w:rPr>
        <w:t>pandemic conditions while others continue to be depressed. At present, the duration, severity and impact of the pandemic in various locations globally as well as the impacts of related economic volatility remain unclear.</w:t>
      </w:r>
    </w:p>
    <w:p>
      <w:pPr>
        <w:spacing w:after="0" w:line="238" w:lineRule="exact"/>
        <w:rPr>
          <w:sz w:val="20"/>
          <w:szCs w:val="20"/>
          <w:color w:val="auto"/>
        </w:rPr>
      </w:pPr>
    </w:p>
    <w:p>
      <w:pPr>
        <w:ind w:right="120"/>
        <w:spacing w:after="0" w:line="346" w:lineRule="auto"/>
        <w:rPr>
          <w:sz w:val="20"/>
          <w:szCs w:val="20"/>
          <w:color w:val="auto"/>
        </w:rPr>
      </w:pPr>
      <w:r>
        <w:rPr>
          <w:rFonts w:ascii="Arial" w:cs="Arial" w:eastAsia="Arial" w:hAnsi="Arial"/>
          <w:sz w:val="16"/>
          <w:szCs w:val="16"/>
          <w:color w:val="auto"/>
        </w:rPr>
        <w:t>During fiscal 2020, we took steps to lower our operating expenses as a result of the pandemic and related economic volatility. We continue to monitor the impacts of COVID-19 on our operations closely. As conditions change we could take steps to increase or decrease expenses as we believe circumstances warrant. Since the start of the pandemic there have not been any material adverse changes to our assets on our balance sheet and, at present, we do not expect there to be material adverse changes. During the nine months of fiscal 2021, we reviewed the potential impacts of the COVID-19 pandemic on goodwill and intangible assets and determined there to be no material impact at that time. We also reviewed the potential impacts on future risks to the business as it relates to collections, returns and other business related items. No significant changes to these reserves have been made.</w:t>
      </w:r>
    </w:p>
    <w:p>
      <w:pPr>
        <w:spacing w:after="0" w:line="150"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We also have taken a range of actions with respect to how we operate to assure we comply with government restrictions and guidelines as well as other practices to protect the health and well-being of our employees and our ability to continue operating our business effectively. To date, we have been able to operate our business using these measures and to maintain effectively all internal controls as documented and posted. We also have not experienced</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challenges in maintaining business continuity and do not expect to incur material expenditures to do so. However, the impacts of the pandemic and efforts to mitigate the same remain fluid and it remains possible that challenges may arise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Impacting Third Quarter Results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Haxiot, Inc.</w:t>
      </w:r>
    </w:p>
    <w:p>
      <w:pPr>
        <w:spacing w:after="0" w:line="19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March 26, 2021, we acquired Haxiot, Inc. ("Haxiot") a Dallas-based provider of low power wide area ("LPWA") wireless technology. We funded the closing of the acquisition with $7.1 million cash on hand. In fiscal third quarter, the purchase price allocation was recorded , including related determinations of fair value and income tax implications. as a result, we recorded $8.6 million of goodwill and adjusted the contingent consideration to $5.9 million on our balance sheet. The results of operations are now included in our third quarter fiscal 2021 results within our IoT Products &amp; Services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information derived from our interim condensed consolidated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color w:val="auto"/>
                <w:w w:val="92"/>
              </w:rPr>
              <w:t>Three months ended June 30,</w:t>
            </w:r>
          </w:p>
        </w:tc>
        <w:tc>
          <w:tcPr>
            <w:tcW w:w="600" w:type="dxa"/>
            <w:vAlign w:val="bottom"/>
            <w:tcBorders>
              <w:bottom w:val="single" w:sz="8" w:color="auto"/>
            </w:tcBorders>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color w:val="auto"/>
              </w:rPr>
              <w:t>% incr.</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color w:val="auto"/>
                <w:w w:val="96"/>
              </w:rPr>
              <w:t>Nine months ended June 30,</w:t>
            </w:r>
          </w:p>
        </w:tc>
        <w:tc>
          <w:tcPr>
            <w:tcW w:w="600" w:type="dxa"/>
            <w:vAlign w:val="bottom"/>
            <w:tcBorders>
              <w:bottom w:val="single" w:sz="8" w:color="auto"/>
            </w:tcBorders>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 incr.</w:t>
            </w: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80" w:type="dxa"/>
            <w:vAlign w:val="bottom"/>
          </w:tcPr>
          <w:p>
            <w:pPr>
              <w:spacing w:after="0"/>
              <w:rPr>
                <w:sz w:val="16"/>
                <w:szCs w:val="16"/>
                <w:color w:val="auto"/>
              </w:rPr>
            </w:pPr>
          </w:p>
        </w:tc>
        <w:tc>
          <w:tcPr>
            <w:tcW w:w="900" w:type="dxa"/>
            <w:vAlign w:val="bottom"/>
            <w:gridSpan w:val="3"/>
          </w:tcPr>
          <w:p>
            <w:pPr>
              <w:jc w:val="right"/>
              <w:ind w:right="28"/>
              <w:spacing w:after="0"/>
              <w:rPr>
                <w:sz w:val="20"/>
                <w:szCs w:val="20"/>
                <w:color w:val="auto"/>
              </w:rPr>
            </w:pPr>
            <w:r>
              <w:rPr>
                <w:rFonts w:ascii="Arial" w:cs="Arial" w:eastAsia="Arial" w:hAnsi="Arial"/>
                <w:sz w:val="14"/>
                <w:szCs w:val="14"/>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2020</w:t>
            </w:r>
          </w:p>
        </w:tc>
        <w:tc>
          <w:tcPr>
            <w:tcW w:w="600" w:type="dxa"/>
            <w:vAlign w:val="bottom"/>
          </w:tcPr>
          <w:p>
            <w:pPr>
              <w:spacing w:after="0"/>
              <w:rPr>
                <w:sz w:val="16"/>
                <w:szCs w:val="16"/>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(decr.)</w:t>
            </w:r>
          </w:p>
        </w:tc>
        <w:tc>
          <w:tcPr>
            <w:tcW w:w="180" w:type="dxa"/>
            <w:vAlign w:val="bottom"/>
          </w:tcPr>
          <w:p>
            <w:pPr>
              <w:spacing w:after="0"/>
              <w:rPr>
                <w:sz w:val="16"/>
                <w:szCs w:val="16"/>
                <w:color w:val="auto"/>
              </w:rPr>
            </w:pPr>
          </w:p>
        </w:tc>
        <w:tc>
          <w:tcPr>
            <w:tcW w:w="940" w:type="dxa"/>
            <w:vAlign w:val="bottom"/>
            <w:gridSpan w:val="3"/>
          </w:tcPr>
          <w:p>
            <w:pPr>
              <w:jc w:val="right"/>
              <w:ind w:right="28"/>
              <w:spacing w:after="0"/>
              <w:rPr>
                <w:sz w:val="20"/>
                <w:szCs w:val="20"/>
                <w:color w:val="auto"/>
              </w:rPr>
            </w:pPr>
            <w:r>
              <w:rPr>
                <w:rFonts w:ascii="Arial" w:cs="Arial" w:eastAsia="Arial" w:hAnsi="Arial"/>
                <w:sz w:val="14"/>
                <w:szCs w:val="14"/>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2020</w:t>
            </w:r>
          </w:p>
        </w:tc>
        <w:tc>
          <w:tcPr>
            <w:tcW w:w="60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(decr.)</w:t>
            </w:r>
          </w:p>
        </w:tc>
      </w:tr>
      <w:tr>
        <w:trPr>
          <w:trHeight w:val="186"/>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79,079</w:t>
            </w: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70,338</w:t>
            </w: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7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96"/>
              </w:rPr>
              <w:t>12.4 %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229,526</w:t>
            </w: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206,102</w:t>
            </w: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11.4 %</w:t>
            </w:r>
          </w:p>
        </w:tc>
      </w:tr>
      <w:tr>
        <w:trPr>
          <w:trHeight w:val="18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32,989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46.9</w:t>
            </w: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105,495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99,648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48.3</w:t>
            </w: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5.9</w:t>
            </w:r>
          </w:p>
        </w:tc>
      </w:tr>
      <w:tr>
        <w:trPr>
          <w:trHeight w:val="18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37,349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7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106,454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51.7</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w:t>
            </w:r>
          </w:p>
        </w:tc>
      </w:tr>
      <w:tr>
        <w:trPr>
          <w:trHeight w:val="18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38,538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34,494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49.0</w:t>
            </w:r>
          </w:p>
        </w:tc>
        <w:tc>
          <w:tcPr>
            <w:tcW w:w="7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116,789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100,358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48.7</w:t>
            </w: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16.4</w:t>
            </w:r>
          </w:p>
        </w:tc>
      </w:tr>
      <w:tr>
        <w:trPr>
          <w:trHeight w:val="18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w:t>
            </w:r>
          </w:p>
        </w:tc>
        <w:tc>
          <w:tcPr>
            <w:tcW w:w="7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w:t>
            </w:r>
          </w:p>
        </w:tc>
      </w:tr>
      <w:tr>
        <w:trPr>
          <w:trHeight w:val="18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net</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86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NM</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r>
      <w:tr>
        <w:trPr>
          <w:trHeight w:val="18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w:t>
            </w:r>
          </w:p>
        </w:tc>
        <w:tc>
          <w:tcPr>
            <w:tcW w:w="7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(92.3)</w:t>
            </w: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82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11"/>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1,766</w:t>
            </w: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76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w w:val="96"/>
              </w:rPr>
              <w:t>78.8 %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3,978</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45.2 %</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color w:val="auto"/>
                <w:w w:val="93"/>
              </w:rPr>
              <w:t>Three months ended June 30,</w:t>
            </w:r>
          </w:p>
        </w:tc>
        <w:tc>
          <w:tcPr>
            <w:tcW w:w="540" w:type="dxa"/>
            <w:vAlign w:val="bottom"/>
            <w:tcBorders>
              <w:bottom w:val="single" w:sz="8" w:color="auto"/>
            </w:tcBorders>
          </w:tcPr>
          <w:p>
            <w:pPr>
              <w:spacing w:after="0"/>
              <w:rPr>
                <w:sz w:val="16"/>
                <w:szCs w:val="16"/>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 incr.</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color w:val="auto"/>
                <w:w w:val="96"/>
              </w:rPr>
              <w:t>Nine months ended June 30,</w:t>
            </w:r>
          </w:p>
        </w:tc>
        <w:tc>
          <w:tcPr>
            <w:tcW w:w="620" w:type="dxa"/>
            <w:vAlign w:val="bottom"/>
            <w:tcBorders>
              <w:bottom w:val="single" w:sz="8" w:color="auto"/>
            </w:tcBorders>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 incr.</w:t>
            </w:r>
          </w:p>
        </w:tc>
      </w:tr>
      <w:tr>
        <w:trPr>
          <w:trHeight w:val="18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thousands)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CCEEFF"/>
            </w:tcBorders>
          </w:tcPr>
          <w:p>
            <w:pPr>
              <w:jc w:val="right"/>
              <w:ind w:right="208"/>
              <w:spacing w:after="0"/>
              <w:rPr>
                <w:sz w:val="20"/>
                <w:szCs w:val="20"/>
                <w:color w:val="auto"/>
              </w:rPr>
            </w:pPr>
            <w:r>
              <w:rPr>
                <w:rFonts w:ascii="Arial" w:cs="Arial" w:eastAsia="Arial" w:hAnsi="Arial"/>
                <w:sz w:val="14"/>
                <w:szCs w:val="14"/>
                <w:color w:val="auto"/>
              </w:rPr>
              <w:t>(decr.)</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w w:val="83"/>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(decr.)</w:t>
            </w: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6"/>
        </w:trPr>
        <w:tc>
          <w:tcPr>
            <w:tcW w:w="2640" w:type="dxa"/>
            <w:vAlign w:val="bottom"/>
          </w:tcPr>
          <w:p>
            <w:pPr>
              <w:ind w:left="140"/>
              <w:spacing w:after="0"/>
              <w:rPr>
                <w:sz w:val="20"/>
                <w:szCs w:val="20"/>
                <w:color w:val="auto"/>
              </w:rPr>
            </w:pPr>
            <w:r>
              <w:rPr>
                <w:rFonts w:ascii="Arial" w:cs="Arial" w:eastAsia="Arial" w:hAnsi="Arial"/>
                <w:sz w:val="14"/>
                <w:szCs w:val="14"/>
                <w:color w:val="auto"/>
              </w:rPr>
              <w:t>IoT Products &amp; Services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66,812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84.5</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63,472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90.2</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5.3</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194,224</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84.6 %</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184,975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89.7 %</w:t>
            </w:r>
          </w:p>
        </w:tc>
        <w:tc>
          <w:tcPr>
            <w:tcW w:w="7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9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78.7</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35,302</w:t>
            </w:r>
          </w:p>
        </w:tc>
        <w:tc>
          <w:tcPr>
            <w:tcW w:w="10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r>
      <w:tr>
        <w:trPr>
          <w:trHeight w:val="183"/>
        </w:trPr>
        <w:tc>
          <w:tcPr>
            <w:tcW w:w="2640" w:type="dxa"/>
            <w:vAlign w:val="bottom"/>
          </w:tcPr>
          <w:p>
            <w:pPr>
              <w:ind w:left="220"/>
              <w:spacing w:after="0"/>
              <w:rPr>
                <w:sz w:val="20"/>
                <w:szCs w:val="20"/>
                <w:color w:val="auto"/>
              </w:rPr>
            </w:pPr>
            <w:r>
              <w:rPr>
                <w:rFonts w:ascii="Arial" w:cs="Arial" w:eastAsia="Arial" w:hAnsi="Arial"/>
                <w:sz w:val="14"/>
                <w:szCs w:val="14"/>
                <w:color w:val="auto"/>
              </w:rPr>
              <w:t>Total revenue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79,079</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70,338</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12.4</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229,526</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206,102</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72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1"/>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Products &amp; Services</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IoT Products &amp; Services revenue increased 5.3% for the three months ended June 30, 2021 as compared to the same period in the prior fiscal year. This primarily was a result of:</w:t>
      </w:r>
    </w:p>
    <w:p>
      <w:pPr>
        <w:spacing w:after="0" w:line="14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sales of our console servers primarily due revenue from our acquisition of Opengear in December 2019;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sales within our embedded portfolio attributable to demand from a specific medical device customer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increase partially offset by:</w:t>
      </w:r>
    </w:p>
    <w:p>
      <w:pPr>
        <w:spacing w:after="0" w:line="1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sales of our cellular routers,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IoT Products &amp; Services revenue increased 5.0% for the nine months ended June 30, 2021 as compared to the same period in the prior fiscal year. This primarily was a result of:</w:t>
      </w:r>
    </w:p>
    <w:p>
      <w:pPr>
        <w:spacing w:after="0" w:line="13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sales of our console servers primarily due to incremental revenue from our acquisition of Opengear in December 2019; and</w:t>
      </w:r>
    </w:p>
    <w:p>
      <w:pPr>
        <w:spacing w:after="0" w:line="204"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revenue from embedded and Xbee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partially was offset by:</w:t>
      </w:r>
    </w:p>
    <w:p>
      <w:pPr>
        <w:spacing w:after="0" w:line="185" w:lineRule="exact"/>
        <w:rPr>
          <w:sz w:val="20"/>
          <w:szCs w:val="20"/>
          <w:color w:val="auto"/>
        </w:rPr>
      </w:pPr>
    </w:p>
    <w:p>
      <w:pPr>
        <w:ind w:left="660" w:right="4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sales of our cellular routers in the government transit sector primarily related to an existing customer in the prior year that was not repeated this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Solutions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IoT Solutions revenue increased 78.6% and 67.1% for the three and nine months ended June 30, 2021, respectively, as compared to the same periods in the prior fiscal year. This primarily was a result of:</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hardware installations with new and existing customers; and</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right="1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recurring revenue from our subscription services as we service nearly 79,000 sites as of June 30, 2021, compared to nearly 69,000 sites as of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AND GROSS PROFIT BY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color w:val="auto"/>
                <w:w w:val="93"/>
              </w:rPr>
              <w:t>Three months ended June 30,</w:t>
            </w:r>
          </w:p>
        </w:tc>
        <w:tc>
          <w:tcPr>
            <w:tcW w:w="580" w:type="dxa"/>
            <w:vAlign w:val="bottom"/>
            <w:tcBorders>
              <w:bottom w:val="single" w:sz="8" w:color="auto"/>
            </w:tcBorders>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color w:val="auto"/>
              </w:rPr>
              <w:t>Basis point</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w w:val="96"/>
              </w:rPr>
              <w:t>Nine months ended June 30,</w:t>
            </w:r>
          </w:p>
        </w:tc>
        <w:tc>
          <w:tcPr>
            <w:tcW w:w="580" w:type="dxa"/>
            <w:vAlign w:val="bottom"/>
            <w:tcBorders>
              <w:bottom w:val="single" w:sz="8" w:color="auto"/>
            </w:tcBorders>
          </w:tcPr>
          <w:p>
            <w:pPr>
              <w:spacing w:after="0"/>
              <w:rPr>
                <w:sz w:val="16"/>
                <w:szCs w:val="16"/>
                <w:color w:val="auto"/>
              </w:rPr>
            </w:pPr>
          </w:p>
        </w:tc>
        <w:tc>
          <w:tcPr>
            <w:tcW w:w="980" w:type="dxa"/>
            <w:vAlign w:val="bottom"/>
          </w:tcPr>
          <w:p>
            <w:pPr>
              <w:ind w:left="160"/>
              <w:spacing w:after="0"/>
              <w:rPr>
                <w:sz w:val="20"/>
                <w:szCs w:val="20"/>
                <w:color w:val="auto"/>
              </w:rPr>
            </w:pPr>
            <w:r>
              <w:rPr>
                <w:rFonts w:ascii="Arial" w:cs="Arial" w:eastAsia="Arial" w:hAnsi="Arial"/>
                <w:sz w:val="14"/>
                <w:szCs w:val="14"/>
                <w:color w:val="auto"/>
              </w:rPr>
              <w:t>Basis point</w:t>
            </w: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16"/>
                <w:szCs w:val="16"/>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2020</w:t>
            </w:r>
          </w:p>
        </w:tc>
        <w:tc>
          <w:tcPr>
            <w:tcW w:w="5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inc. (decr.)</w:t>
            </w:r>
          </w:p>
        </w:tc>
        <w:tc>
          <w:tcPr>
            <w:tcW w:w="200" w:type="dxa"/>
            <w:vAlign w:val="bottom"/>
          </w:tcPr>
          <w:p>
            <w:pPr>
              <w:spacing w:after="0"/>
              <w:rPr>
                <w:sz w:val="16"/>
                <w:szCs w:val="16"/>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2020</w:t>
            </w:r>
          </w:p>
        </w:tc>
        <w:tc>
          <w:tcPr>
            <w:tcW w:w="58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Arial" w:cs="Arial" w:eastAsia="Arial" w:hAnsi="Arial"/>
                <w:sz w:val="14"/>
                <w:szCs w:val="14"/>
                <w:color w:val="auto"/>
              </w:rPr>
              <w:t>inc. (decr.)</w:t>
            </w:r>
          </w:p>
        </w:tc>
      </w:tr>
      <w:tr>
        <w:trPr>
          <w:trHeight w:val="186"/>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Goods Sold</w:t>
            </w: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86"/>
        </w:trPr>
        <w:tc>
          <w:tcPr>
            <w:tcW w:w="2160" w:type="dxa"/>
            <w:vAlign w:val="bottom"/>
          </w:tcPr>
          <w:p>
            <w:pPr>
              <w:ind w:left="140"/>
              <w:spacing w:after="0"/>
              <w:rPr>
                <w:sz w:val="20"/>
                <w:szCs w:val="20"/>
                <w:color w:val="auto"/>
              </w:rPr>
            </w:pPr>
            <w:r>
              <w:rPr>
                <w:rFonts w:ascii="Arial" w:cs="Arial" w:eastAsia="Arial" w:hAnsi="Arial"/>
                <w:sz w:val="14"/>
                <w:szCs w:val="14"/>
                <w:color w:val="auto"/>
              </w:rPr>
              <w:t>IoT Products &amp; Services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30,006</w:t>
            </w: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44.9 %</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29,573</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46.6 %</w:t>
            </w:r>
          </w:p>
        </w:tc>
        <w:tc>
          <w:tcPr>
            <w:tcW w:w="96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87,282</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44.9 %</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88,965</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48.1 %</w:t>
            </w:r>
          </w:p>
        </w:tc>
        <w:tc>
          <w:tcPr>
            <w:tcW w:w="980" w:type="dxa"/>
            <w:vAlign w:val="bottom"/>
          </w:tcPr>
          <w:p>
            <w:pPr>
              <w:jc w:val="center"/>
              <w:ind w:left="548"/>
              <w:spacing w:after="0"/>
              <w:rPr>
                <w:sz w:val="20"/>
                <w:szCs w:val="20"/>
                <w:color w:val="auto"/>
              </w:rPr>
            </w:pPr>
            <w:r>
              <w:rPr>
                <w:rFonts w:ascii="Arial" w:cs="Arial" w:eastAsia="Arial" w:hAnsi="Arial"/>
                <w:sz w:val="14"/>
                <w:szCs w:val="14"/>
                <w:color w:val="auto"/>
                <w:w w:val="97"/>
              </w:rPr>
              <w:t>(320)</w:t>
            </w:r>
          </w:p>
        </w:tc>
      </w:tr>
      <w:tr>
        <w:trPr>
          <w:trHeight w:val="189"/>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IoT Solutions</w:t>
            </w: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6,517</w:t>
            </w: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3,416</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18,213</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51.6 %</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10,683</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50.6 %</w:t>
            </w:r>
          </w:p>
        </w:tc>
        <w:tc>
          <w:tcPr>
            <w:tcW w:w="980" w:type="dxa"/>
            <w:vAlign w:val="bottom"/>
            <w:shd w:val="clear" w:color="auto" w:fill="CCEEFF"/>
          </w:tcPr>
          <w:p>
            <w:pPr>
              <w:jc w:val="center"/>
              <w:ind w:left="568"/>
              <w:spacing w:after="0"/>
              <w:rPr>
                <w:sz w:val="20"/>
                <w:szCs w:val="20"/>
                <w:color w:val="auto"/>
              </w:rPr>
            </w:pPr>
            <w:r>
              <w:rPr>
                <w:rFonts w:ascii="Arial" w:cs="Arial" w:eastAsia="Arial" w:hAnsi="Arial"/>
                <w:sz w:val="14"/>
                <w:szCs w:val="14"/>
                <w:color w:val="auto"/>
                <w:w w:val="94"/>
              </w:rPr>
              <w:t>100</w:t>
            </w:r>
          </w:p>
        </w:tc>
      </w:tr>
      <w:tr>
        <w:trPr>
          <w:trHeight w:val="186"/>
        </w:trPr>
        <w:tc>
          <w:tcPr>
            <w:tcW w:w="2160" w:type="dxa"/>
            <w:vAlign w:val="bottom"/>
          </w:tcPr>
          <w:p>
            <w:pPr>
              <w:ind w:left="220"/>
              <w:spacing w:after="0"/>
              <w:rPr>
                <w:sz w:val="20"/>
                <w:szCs w:val="20"/>
                <w:color w:val="auto"/>
              </w:rPr>
            </w:pPr>
            <w:r>
              <w:rPr>
                <w:rFonts w:ascii="Arial" w:cs="Arial" w:eastAsia="Arial" w:hAnsi="Arial"/>
                <w:sz w:val="14"/>
                <w:szCs w:val="14"/>
                <w:color w:val="auto"/>
              </w:rPr>
              <w:t>Total cost of goods sold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36,523</w:t>
            </w: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46.2 %</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32,989</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46.9 %</w:t>
            </w:r>
          </w:p>
        </w:tc>
        <w:tc>
          <w:tcPr>
            <w:tcW w:w="9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105,495</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46.0 %</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99,648</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48.3 %</w:t>
            </w:r>
          </w:p>
        </w:tc>
        <w:tc>
          <w:tcPr>
            <w:tcW w:w="980" w:type="dxa"/>
            <w:vAlign w:val="bottom"/>
          </w:tcPr>
          <w:p>
            <w:pPr>
              <w:jc w:val="center"/>
              <w:ind w:left="548"/>
              <w:spacing w:after="0"/>
              <w:rPr>
                <w:sz w:val="20"/>
                <w:szCs w:val="20"/>
                <w:color w:val="auto"/>
              </w:rPr>
            </w:pPr>
            <w:r>
              <w:rPr>
                <w:rFonts w:ascii="Arial" w:cs="Arial" w:eastAsia="Arial" w:hAnsi="Arial"/>
                <w:sz w:val="14"/>
                <w:szCs w:val="14"/>
                <w:color w:val="auto"/>
                <w:w w:val="97"/>
              </w:rPr>
              <w:t>(230)</w:t>
            </w:r>
          </w:p>
        </w:tc>
      </w:tr>
      <w:tr>
        <w:trPr>
          <w:trHeight w:val="20"/>
        </w:trPr>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27"/>
        </w:trPr>
        <w:tc>
          <w:tcPr>
            <w:tcW w:w="2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color w:val="auto"/>
                <w:w w:val="93"/>
              </w:rPr>
              <w:t>Three months ended June 30,</w:t>
            </w:r>
          </w:p>
        </w:tc>
        <w:tc>
          <w:tcPr>
            <w:tcW w:w="580" w:type="dxa"/>
            <w:vAlign w:val="bottom"/>
            <w:tcBorders>
              <w:bottom w:val="single" w:sz="8" w:color="auto"/>
            </w:tcBorders>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color w:val="auto"/>
              </w:rPr>
              <w:t>Basis point</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w w:val="96"/>
              </w:rPr>
              <w:t>Nine months ended June 30,</w:t>
            </w:r>
          </w:p>
        </w:tc>
        <w:tc>
          <w:tcPr>
            <w:tcW w:w="580" w:type="dxa"/>
            <w:vAlign w:val="bottom"/>
            <w:tcBorders>
              <w:bottom w:val="single" w:sz="8" w:color="auto"/>
            </w:tcBorders>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4"/>
                <w:szCs w:val="14"/>
                <w:color w:val="auto"/>
              </w:rPr>
              <w:t>Basis point</w:t>
            </w: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16"/>
                <w:szCs w:val="16"/>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2020</w:t>
            </w:r>
          </w:p>
        </w:tc>
        <w:tc>
          <w:tcPr>
            <w:tcW w:w="5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inc. (decr.)</w:t>
            </w:r>
          </w:p>
        </w:tc>
        <w:tc>
          <w:tcPr>
            <w:tcW w:w="200" w:type="dxa"/>
            <w:vAlign w:val="bottom"/>
          </w:tcPr>
          <w:p>
            <w:pPr>
              <w:spacing w:after="0"/>
              <w:rPr>
                <w:sz w:val="16"/>
                <w:szCs w:val="16"/>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2020</w:t>
            </w:r>
          </w:p>
        </w:tc>
        <w:tc>
          <w:tcPr>
            <w:tcW w:w="58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Arial" w:cs="Arial" w:eastAsia="Arial" w:hAnsi="Arial"/>
                <w:sz w:val="14"/>
                <w:szCs w:val="14"/>
                <w:color w:val="auto"/>
              </w:rPr>
              <w:t>inc. (decr.)</w:t>
            </w:r>
          </w:p>
        </w:tc>
      </w:tr>
      <w:tr>
        <w:trPr>
          <w:trHeight w:val="186"/>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IoT Products &amp; Services revenue</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66,812</w:t>
            </w:r>
          </w:p>
        </w:tc>
        <w:tc>
          <w:tcPr>
            <w:tcW w:w="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63,472</w:t>
            </w:r>
          </w:p>
        </w:tc>
        <w:tc>
          <w:tcPr>
            <w:tcW w:w="2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194,224</w:t>
            </w:r>
          </w:p>
        </w:tc>
        <w:tc>
          <w:tcPr>
            <w:tcW w:w="3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184,975</w:t>
            </w:r>
          </w:p>
        </w:tc>
        <w:tc>
          <w:tcPr>
            <w:tcW w:w="3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color w:val="auto"/>
              </w:rPr>
              <w:t>IoT Solutions revenue</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12,267</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6,866</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35,302</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21,127</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79,079</w:t>
            </w: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70,338</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229,526</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206,102</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IoT Products &amp; Services</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36,807</w:t>
            </w: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33,899</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106,942</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96,010</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51.9 %</w:t>
            </w:r>
          </w:p>
        </w:tc>
        <w:tc>
          <w:tcPr>
            <w:tcW w:w="980" w:type="dxa"/>
            <w:vAlign w:val="bottom"/>
            <w:shd w:val="clear" w:color="auto" w:fill="CCEEFF"/>
          </w:tcPr>
          <w:p>
            <w:pPr>
              <w:jc w:val="center"/>
              <w:ind w:left="568"/>
              <w:spacing w:after="0"/>
              <w:rPr>
                <w:sz w:val="20"/>
                <w:szCs w:val="20"/>
                <w:color w:val="auto"/>
              </w:rPr>
            </w:pPr>
            <w:r>
              <w:rPr>
                <w:rFonts w:ascii="Arial" w:cs="Arial" w:eastAsia="Arial" w:hAnsi="Arial"/>
                <w:sz w:val="14"/>
                <w:szCs w:val="14"/>
                <w:color w:val="auto"/>
                <w:w w:val="94"/>
              </w:rPr>
              <w:t>320</w:t>
            </w:r>
          </w:p>
        </w:tc>
      </w:tr>
      <w:tr>
        <w:trPr>
          <w:trHeight w:val="186"/>
        </w:trPr>
        <w:tc>
          <w:tcPr>
            <w:tcW w:w="2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IoT Solutions</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5,749</w:t>
            </w:r>
          </w:p>
        </w:tc>
        <w:tc>
          <w:tcPr>
            <w:tcW w:w="3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46.9 %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w:t>
            </w:r>
          </w:p>
        </w:tc>
        <w:tc>
          <w:tcPr>
            <w:tcW w:w="2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50.2 %</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17,089</w:t>
            </w:r>
          </w:p>
        </w:tc>
        <w:tc>
          <w:tcPr>
            <w:tcW w:w="3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48.4 %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10,444</w:t>
            </w:r>
          </w:p>
        </w:tc>
        <w:tc>
          <w:tcPr>
            <w:tcW w:w="3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49.4 %</w:t>
            </w:r>
          </w:p>
        </w:tc>
        <w:tc>
          <w:tcPr>
            <w:tcW w:w="980" w:type="dxa"/>
            <w:vAlign w:val="bottom"/>
            <w:tcBorders>
              <w:bottom w:val="single" w:sz="8" w:color="CCEEFF"/>
            </w:tcBorders>
          </w:tcPr>
          <w:p>
            <w:pPr>
              <w:jc w:val="center"/>
              <w:ind w:left="548"/>
              <w:spacing w:after="0"/>
              <w:rPr>
                <w:sz w:val="20"/>
                <w:szCs w:val="20"/>
                <w:color w:val="auto"/>
              </w:rPr>
            </w:pPr>
            <w:r>
              <w:rPr>
                <w:rFonts w:ascii="Arial" w:cs="Arial" w:eastAsia="Arial" w:hAnsi="Arial"/>
                <w:sz w:val="14"/>
                <w:szCs w:val="14"/>
                <w:color w:val="auto"/>
                <w:w w:val="97"/>
              </w:rPr>
              <w:t>(100)</w:t>
            </w:r>
          </w:p>
        </w:tc>
      </w:tr>
      <w:tr>
        <w:trPr>
          <w:trHeight w:val="211"/>
        </w:trPr>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gross profit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42,556</w:t>
            </w:r>
          </w:p>
        </w:tc>
        <w:tc>
          <w:tcPr>
            <w:tcW w:w="3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37,349</w:t>
            </w:r>
          </w:p>
        </w:tc>
        <w:tc>
          <w:tcPr>
            <w:tcW w:w="2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124,031</w:t>
            </w: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106,454</w:t>
            </w: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51.7 %</w:t>
            </w:r>
          </w:p>
        </w:tc>
        <w:tc>
          <w:tcPr>
            <w:tcW w:w="980" w:type="dxa"/>
            <w:vAlign w:val="bottom"/>
            <w:tcBorders>
              <w:bottom w:val="single" w:sz="8" w:color="CCEEFF"/>
            </w:tcBorders>
            <w:shd w:val="clear" w:color="auto" w:fill="CCEEFF"/>
          </w:tcPr>
          <w:p>
            <w:pPr>
              <w:jc w:val="center"/>
              <w:ind w:left="568"/>
              <w:spacing w:after="0"/>
              <w:rPr>
                <w:sz w:val="20"/>
                <w:szCs w:val="20"/>
                <w:color w:val="auto"/>
              </w:rPr>
            </w:pPr>
            <w:r>
              <w:rPr>
                <w:rFonts w:ascii="Arial" w:cs="Arial" w:eastAsia="Arial" w:hAnsi="Arial"/>
                <w:sz w:val="14"/>
                <w:szCs w:val="14"/>
                <w:color w:val="auto"/>
                <w:w w:val="94"/>
              </w:rPr>
              <w:t>230</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Product &amp; Services</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IoT Products &amp; Services gross profit margin increased 170 basis points for the three months ended June 30, 2021 as compared to the same period in the prior fiscal year. This increase primarily was a result of:</w:t>
      </w:r>
    </w:p>
    <w:p>
      <w:pPr>
        <w:spacing w:after="0" w:line="130" w:lineRule="exact"/>
        <w:rPr>
          <w:sz w:val="20"/>
          <w:szCs w:val="20"/>
          <w:color w:val="auto"/>
        </w:rPr>
      </w:pPr>
    </w:p>
    <w:p>
      <w:pPr>
        <w:ind w:right="1780" w:firstLine="332"/>
        <w:spacing w:after="0" w:line="461" w:lineRule="auto"/>
        <w:tabs>
          <w:tab w:leader="none" w:pos="6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favorable product and customer mix within and among our console server, cellular router, embedded and Xbee® products. This increase partially offset by:</w:t>
      </w:r>
    </w:p>
    <w:p>
      <w:pPr>
        <w:spacing w:after="0" w:line="1"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material and overhead expenses associated with the production and distribution of our products as a result of global supply chain challenges.</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IoT Products &amp; Services gross profit margin increased 320 basis points for the nine months ended June 30, 2021 as compared to the same period in the prior fiscal year. This increase primarily was a result of:</w:t>
      </w:r>
    </w:p>
    <w:p>
      <w:pPr>
        <w:spacing w:after="0" w:line="14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incremental gross profit from our console servers due to the Opengear acquisition in December 2019;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favorable product mix within our cellular router, embedded, Xbee® and infrastructure management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Solutions</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IoT Solutions gross profit margin decreased (330) basis points for the three months ended June 30, 2021 as compared to the same periods in the prior fiscal year. This increase primarily was a result of:</w:t>
      </w:r>
    </w:p>
    <w:p>
      <w:pPr>
        <w:spacing w:after="0" w:line="1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one time, product revenue, which typically has lower gross margin;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material and overhead expenses associated with the production and distribution of our products as a result of global supply challenges.</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IoT Solutions gross profit margin decreased (100) basis points for the nine months ended June 30, 2021 as compared to the same period in the prior fiscal year. This decrease primarily was a result of:</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material and overhead expenses associated with the production and distribution of our products as a result of global supply challenges.</w:t>
      </w:r>
    </w:p>
    <w:p>
      <w:pPr>
        <w:spacing w:after="0" w:line="2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Below is our operating expenses and operating expenses as a percentage of total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color w:val="auto"/>
                <w:w w:val="90"/>
              </w:rPr>
              <w:t>Nine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center"/>
              <w:ind w:right="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thousands)</w:t>
            </w:r>
          </w:p>
        </w:tc>
        <w:tc>
          <w:tcPr>
            <w:tcW w:w="18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2021</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2020</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68"/>
              <w:spacing w:after="0" w:line="122" w:lineRule="exact"/>
              <w:rPr>
                <w:sz w:val="20"/>
                <w:szCs w:val="20"/>
                <w:color w:val="auto"/>
              </w:rPr>
            </w:pPr>
            <w:r>
              <w:rPr>
                <w:rFonts w:ascii="Arial" w:cs="Arial" w:eastAsia="Arial" w:hAnsi="Arial"/>
                <w:sz w:val="14"/>
                <w:szCs w:val="14"/>
                <w:color w:val="auto"/>
                <w:w w:val="98"/>
              </w:rPr>
              <w:t>incr.</w:t>
            </w: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4"/>
                <w:szCs w:val="14"/>
                <w:color w:val="auto"/>
                <w:w w:val="90"/>
              </w:rPr>
              <w:t>incr.</w:t>
            </w:r>
          </w:p>
        </w:tc>
        <w:tc>
          <w:tcPr>
            <w:tcW w:w="280" w:type="dxa"/>
            <w:vAlign w:val="bottom"/>
          </w:tcPr>
          <w:p>
            <w:pPr>
              <w:spacing w:after="0"/>
              <w:rPr>
                <w:sz w:val="10"/>
                <w:szCs w:val="10"/>
                <w:color w:val="auto"/>
              </w:rPr>
            </w:pP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2020</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68"/>
              <w:spacing w:after="0" w:line="122" w:lineRule="exact"/>
              <w:rPr>
                <w:sz w:val="20"/>
                <w:szCs w:val="20"/>
                <w:color w:val="auto"/>
              </w:rPr>
            </w:pPr>
            <w:r>
              <w:rPr>
                <w:rFonts w:ascii="Arial" w:cs="Arial" w:eastAsia="Arial" w:hAnsi="Arial"/>
                <w:sz w:val="14"/>
                <w:szCs w:val="14"/>
                <w:color w:val="auto"/>
                <w:w w:val="90"/>
              </w:rPr>
              <w:t>incr.</w:t>
            </w:r>
          </w:p>
        </w:tc>
        <w:tc>
          <w:tcPr>
            <w:tcW w:w="1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4"/>
                <w:szCs w:val="14"/>
                <w:color w:val="auto"/>
                <w:w w:val="98"/>
              </w:rPr>
              <w:t>incr.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3"/>
              </w:rPr>
              <w:t>(decr.)</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8"/>
              </w:rPr>
              <w:t>(decr.)</w:t>
            </w:r>
          </w:p>
        </w:tc>
        <w:tc>
          <w:tcPr>
            <w:tcW w:w="2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88"/>
              </w:rPr>
              <w:t>(decr.)</w:t>
            </w: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(decr.)</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Sales and marketing</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15,910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20.1 %</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13,133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18.7 %</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2,777</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21.1</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46,271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20.2 %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39,750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19.3 %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6,521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1,482</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13.6</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10,153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12.8 %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10,378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14.8 %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w w:val="97"/>
              </w:rPr>
              <w:t>(2.2)</w:t>
            </w:r>
          </w:p>
        </w:tc>
        <w:tc>
          <w:tcPr>
            <w:tcW w:w="2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34,701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27,724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6,977</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Restructuring charge</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NM</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60" w:type="dxa"/>
            <w:vAlign w:val="bottom"/>
            <w:gridSpan w:val="2"/>
          </w:tcPr>
          <w:p>
            <w:pPr>
              <w:ind w:left="12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38,538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48.7 %</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34,494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49.0 %</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4,044</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11.7</w:t>
            </w:r>
          </w:p>
        </w:tc>
        <w:tc>
          <w:tcPr>
            <w:tcW w:w="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116,789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50.9 %</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100,358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48.7 %</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16,431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 means not meaningful</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$4.0 million increase in operating expenses in the third quarter of fiscal 2021 from the third quarter of fiscal 2020 primarily was the result of:</w:t>
      </w:r>
    </w:p>
    <w:p>
      <w:pPr>
        <w:spacing w:after="0" w:line="196" w:lineRule="exact"/>
        <w:rPr>
          <w:sz w:val="20"/>
          <w:szCs w:val="20"/>
          <w:color w:val="auto"/>
        </w:rPr>
      </w:pPr>
    </w:p>
    <w:p>
      <w:pPr>
        <w:ind w:left="660" w:right="4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$3.1 million in compensation related expenses primarily related to additional bonus and commission expense due to increased company performance;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increases primarily related bad debt expense and outside services.</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The $16.4 million increase in fiscal year-to-date operating expenses for the nine months ending June 30, 2021, when compared to the same period in the prior fiscal year was the result of:</w:t>
      </w:r>
    </w:p>
    <w:p>
      <w:pPr>
        <w:spacing w:after="0" w:line="13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increase of $5.9 million in earn-out expenses primarily as a result of revenue from Opengear exceeding our previous estimate; and</w:t>
      </w:r>
    </w:p>
    <w:p>
      <w:pPr>
        <w:spacing w:after="0" w:line="196"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$8.4 million in compensation expenses primarily related to incremental salaries from the Opengear acquisition in December 2019, and</w:t>
      </w:r>
    </w:p>
    <w:p>
      <w:pPr>
        <w:spacing w:after="0" w:line="143"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increases primarily related to incremental expenses due to the Opengear acquisition in December 2019, restructuring charges, bad debt expense and outside services.</w:t>
      </w:r>
    </w:p>
    <w:p>
      <w:pPr>
        <w:spacing w:after="0" w:line="200" w:lineRule="exact"/>
        <w:rPr>
          <w:sz w:val="20"/>
          <w:szCs w:val="20"/>
          <w:color w:val="auto"/>
        </w:rPr>
      </w:pPr>
    </w:p>
    <w:p>
      <w:pPr>
        <w:spacing w:after="0" w:line="32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$1.7 million in M&amp;A expense;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$1.9 million in travel related expenses as events and travel were restricted due to the pandemic.</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OPERATING INCOME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Operating income was $4.0 million for the three months ended June 30, 2021, compared to $2.9 million for three months ended June 30, 2020. Operating income was $7.2 million for the nine months ending June 30, 2021, compared to $6.1 million for the nine months ending June 30, 2020.</w:t>
      </w:r>
    </w:p>
    <w:p>
      <w:pPr>
        <w:spacing w:after="0" w:line="10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IoT Product &amp; Services provided operating income of $6.1 million for the three months ended June 30,2021 compared to $4.8 million for the three months ended June 30, 2020, an increase of $1.3 million, or 27.4%. IoT Product &amp; Services provided operating income of $4.7 million for the nine months ending June 30, 2021 compared to $14.5 million for the nine months ending June 30, 2020, a decrease of $9.8 million, or 67.3%. Drivers for the changes e in operating income for both the quarter and year-to-date periods are described above in the revenue, gross profit and operating expenses details.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IoT Solutions had an operating loss of $2.1 million for the three months ended June 30, 2021 compared to an operating loss of $1.9 million for the three months ended June 30, 2020, a decrease of $0.2 million, or 7.8%. IoT Solutions had operating income of $2.5 million for the nine months ending June 30, 2021 compared to an operating loss of $8.4 million for the nine months ending June 30, 2020, an improvement of $10.9 million, or 129.8%. Drivers for the improvement in operating loss are described above in the revenue, gross profit and operating expenses details.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color w:val="auto"/>
                <w:w w:val="89"/>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4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color w:val="auto"/>
                <w:w w:val="91"/>
              </w:rPr>
              <w:t>Nine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1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thousands)</w:t>
            </w:r>
          </w:p>
        </w:tc>
        <w:tc>
          <w:tcPr>
            <w:tcW w:w="220" w:type="dxa"/>
            <w:vAlign w:val="bottom"/>
          </w:tcPr>
          <w:p>
            <w:pPr>
              <w:spacing w:after="0"/>
              <w:rPr>
                <w:sz w:val="10"/>
                <w:szCs w:val="10"/>
                <w:color w:val="auto"/>
              </w:rPr>
            </w:pPr>
          </w:p>
        </w:tc>
        <w:tc>
          <w:tcPr>
            <w:tcW w:w="1260" w:type="dxa"/>
            <w:vAlign w:val="bottom"/>
            <w:gridSpan w:val="4"/>
            <w:vMerge w:val="restart"/>
          </w:tcPr>
          <w:p>
            <w:pPr>
              <w:jc w:val="right"/>
              <w:ind w:right="52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2020</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48"/>
              <w:spacing w:after="0" w:line="122" w:lineRule="exact"/>
              <w:rPr>
                <w:sz w:val="20"/>
                <w:szCs w:val="20"/>
                <w:color w:val="auto"/>
              </w:rPr>
            </w:pPr>
            <w:r>
              <w:rPr>
                <w:rFonts w:ascii="Arial" w:cs="Arial" w:eastAsia="Arial" w:hAnsi="Arial"/>
                <w:sz w:val="14"/>
                <w:szCs w:val="14"/>
                <w:color w:val="auto"/>
                <w:w w:val="98"/>
              </w:rPr>
              <w:t>incr.</w:t>
            </w:r>
          </w:p>
        </w:tc>
        <w:tc>
          <w:tcPr>
            <w:tcW w:w="10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98"/>
              </w:rPr>
              <w:t>incr.</w:t>
            </w:r>
          </w:p>
        </w:tc>
        <w:tc>
          <w:tcPr>
            <w:tcW w:w="200" w:type="dxa"/>
            <w:vAlign w:val="bottom"/>
          </w:tcPr>
          <w:p>
            <w:pPr>
              <w:spacing w:after="0"/>
              <w:rPr>
                <w:sz w:val="10"/>
                <w:szCs w:val="10"/>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2020</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68"/>
              <w:spacing w:after="0" w:line="122" w:lineRule="exact"/>
              <w:rPr>
                <w:sz w:val="20"/>
                <w:szCs w:val="20"/>
                <w:color w:val="auto"/>
              </w:rPr>
            </w:pPr>
            <w:r>
              <w:rPr>
                <w:rFonts w:ascii="Arial" w:cs="Arial" w:eastAsia="Arial" w:hAnsi="Arial"/>
                <w:sz w:val="14"/>
                <w:szCs w:val="14"/>
                <w:color w:val="auto"/>
                <w:w w:val="90"/>
              </w:rPr>
              <w:t>incr.</w:t>
            </w:r>
          </w:p>
        </w:tc>
        <w:tc>
          <w:tcPr>
            <w:tcW w:w="1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4"/>
                <w:szCs w:val="14"/>
                <w:color w:val="auto"/>
                <w:w w:val="98"/>
              </w:rPr>
              <w:t>incr.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3"/>
              </w:rPr>
              <w:t>(decr.)</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(decr.)</w:t>
            </w: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88"/>
              </w:rPr>
              <w:t>(decr.)</w:t>
            </w: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(decr.)</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expense, net</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300"/>
              <w:spacing w:after="0"/>
              <w:rPr>
                <w:sz w:val="20"/>
                <w:szCs w:val="20"/>
                <w:color w:val="auto"/>
              </w:rPr>
            </w:pPr>
            <w:r>
              <w:rPr>
                <w:rFonts w:ascii="Arial" w:cs="Arial" w:eastAsia="Arial" w:hAnsi="Arial"/>
                <w:sz w:val="14"/>
                <w:szCs w:val="14"/>
                <w:color w:val="auto"/>
              </w:rPr>
              <w:t>(19)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0.1 %</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NM</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expense, net</w:t>
            </w: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(47)</w:t>
            </w: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680" w:type="dxa"/>
            <w:vAlign w:val="bottom"/>
            <w:tcBorders>
              <w:bottom w:val="single" w:sz="8" w:color="CCEEFF"/>
            </w:tcBorders>
            <w:gridSpan w:val="2"/>
          </w:tcPr>
          <w:p>
            <w:pPr>
              <w:ind w:left="44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other expense,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NM</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1,733</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means not meaningful</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expense, net, improved $0.5 million and $1.7 million for the three and nine months periods ended June 30, 2021, respectively, as compared to the same periods in the prior fiscal year. The improvement was primarily due to the decrease interest expense as we paid down our term loan and paid off our revolving loan under the prior Credit Facility and subsequently in March 2021, refinanced the balance of our term loan with a revolving loan. (see Note 7 to the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condensed consolidated financial statements for discussion of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INFORMATION</w:t>
      </w:r>
    </w:p>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3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understand that there are material limitations on the use of non-GAAP measures. Non-GAAP measures are not substitutes for GAAP measures, such as net income, for the purpose of analyzing financial performance. The disclosure of these measures does not reflect all charges and gains that were actually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changes in fair value of contingent consideration, acquisition-related expenses and interest expense related to acquisitions permits investors to compare results with prior periods that did not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the Company's core operating results and financial performance because it excludes items that are significant non-cash or non-recurring items reflected in the condensed consolidated ctatements of cperations.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Below are reconciliations from GAAP to Non-GAAP information that we feel is important to our business: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6"/>
                <w:szCs w:val="16"/>
                <w:color w:val="auto"/>
                <w:w w:val="92"/>
              </w:rPr>
              <w:t>Three months ended 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6"/>
                <w:szCs w:val="16"/>
                <w:color w:val="auto"/>
                <w:w w:val="94"/>
              </w:rPr>
              <w:t>Nine months ended June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2020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2021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2020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5"/>
              </w:rPr>
              <w:t>% of total</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5"/>
              </w:rPr>
              <w:t>% of total</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5"/>
              </w:rPr>
              <w:t>% of total</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99"/>
              <w:spacing w:after="0" w:line="162" w:lineRule="exact"/>
              <w:rPr>
                <w:sz w:val="20"/>
                <w:szCs w:val="20"/>
                <w:color w:val="auto"/>
              </w:rPr>
            </w:pPr>
            <w:r>
              <w:rPr>
                <w:rFonts w:ascii="Arial" w:cs="Arial" w:eastAsia="Arial" w:hAnsi="Arial"/>
                <w:sz w:val="16"/>
                <w:szCs w:val="16"/>
                <w:color w:val="auto"/>
                <w:w w:val="92"/>
              </w:rPr>
              <w:t>% of total</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revenue</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86"/>
              </w:rPr>
              <w:t>revenue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86"/>
              </w:rPr>
              <w:t>revenue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revenue</w:t>
            </w:r>
          </w:p>
        </w:tc>
        <w:tc>
          <w:tcPr>
            <w:tcW w:w="0" w:type="dxa"/>
            <w:vAlign w:val="bottom"/>
          </w:tcPr>
          <w:p>
            <w:pPr>
              <w:spacing w:after="0"/>
              <w:rPr>
                <w:sz w:val="1"/>
                <w:szCs w:val="1"/>
                <w:color w:val="auto"/>
              </w:rPr>
            </w:pPr>
          </w:p>
        </w:tc>
      </w:tr>
      <w:tr>
        <w:trPr>
          <w:trHeight w:val="234"/>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CCEEFF"/>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229,526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920" w:type="dxa"/>
            <w:vAlign w:val="bottom"/>
          </w:tcPr>
          <w:p>
            <w:pPr>
              <w:ind w:left="20"/>
              <w:spacing w:after="0" w:line="166" w:lineRule="exact"/>
              <w:rPr>
                <w:sz w:val="20"/>
                <w:szCs w:val="20"/>
                <w:color w:val="auto"/>
              </w:rPr>
            </w:pPr>
            <w:r>
              <w:rPr>
                <w:rFonts w:ascii="Arial" w:cs="Arial" w:eastAsia="Arial" w:hAnsi="Arial"/>
                <w:sz w:val="16"/>
                <w:szCs w:val="16"/>
                <w:color w:val="auto"/>
              </w:rPr>
              <w:t>Changes in fair value of contingent</w:t>
            </w:r>
          </w:p>
        </w:tc>
        <w:tc>
          <w:tcPr>
            <w:tcW w:w="220" w:type="dxa"/>
            <w:vAlign w:val="bottom"/>
          </w:tcPr>
          <w:p>
            <w:pPr>
              <w:spacing w:after="0"/>
              <w:rPr>
                <w:sz w:val="14"/>
                <w:szCs w:val="14"/>
                <w:color w:val="auto"/>
              </w:rPr>
            </w:pPr>
          </w:p>
        </w:tc>
        <w:tc>
          <w:tcPr>
            <w:tcW w:w="940" w:type="dxa"/>
            <w:vAlign w:val="bottom"/>
            <w:gridSpan w:val="3"/>
            <w:vMerge w:val="restart"/>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vMerge w:val="restart"/>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5,772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vMerge w:val="restart"/>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consideration</w:t>
            </w:r>
          </w:p>
        </w:tc>
        <w:tc>
          <w:tcPr>
            <w:tcW w:w="22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 expense</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20" w:type="dxa"/>
            <w:vAlign w:val="bottom"/>
            <w:tcBorders>
              <w:bottom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right="100" w:hanging="332"/>
        <w:spacing w:after="0" w:line="275"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Beginning in fiscal 2021, Adjusted EBITDA now excludes changes in fair value of contingent consideration. The prior year presentation has been adjusted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and Net Income per Diluted Share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Net Income and Adjusted Net Income per Diluted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8"/>
          </w:tcPr>
          <w:p>
            <w:pPr>
              <w:spacing w:after="0"/>
              <w:rPr>
                <w:sz w:val="20"/>
                <w:szCs w:val="20"/>
                <w:color w:val="auto"/>
              </w:rPr>
            </w:pPr>
            <w:r>
              <w:rPr>
                <w:rFonts w:ascii="Arial" w:cs="Arial" w:eastAsia="Arial" w:hAnsi="Arial"/>
                <w:sz w:val="16"/>
                <w:szCs w:val="16"/>
                <w:color w:val="auto"/>
                <w:w w:val="91"/>
              </w:rPr>
              <w:t>Three months ended June 30,</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color w:val="auto"/>
                <w:w w:val="94"/>
              </w:rPr>
              <w:t>Nine months ended June 30,</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2020</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and net income per diluted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0.18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center"/>
              <w:ind w:left="99"/>
              <w:spacing w:after="0"/>
              <w:rPr>
                <w:sz w:val="20"/>
                <w:szCs w:val="20"/>
                <w:color w:val="auto"/>
              </w:rPr>
            </w:pPr>
            <w:r>
              <w:rPr>
                <w:rFonts w:ascii="Arial" w:cs="Arial" w:eastAsia="Arial" w:hAnsi="Arial"/>
                <w:sz w:val="16"/>
                <w:szCs w:val="16"/>
                <w:color w:val="auto"/>
                <w:w w:val="89"/>
              </w:rPr>
              <w:t>0.37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0.19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Other non-operating expense</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center"/>
              <w:ind w:left="99"/>
              <w:spacing w:after="0"/>
              <w:rPr>
                <w:sz w:val="20"/>
                <w:szCs w:val="20"/>
                <w:color w:val="auto"/>
              </w:rPr>
            </w:pPr>
            <w:r>
              <w:rPr>
                <w:rFonts w:ascii="Arial" w:cs="Arial" w:eastAsia="Arial" w:hAnsi="Arial"/>
                <w:sz w:val="16"/>
                <w:szCs w:val="16"/>
                <w:color w:val="auto"/>
                <w:w w:val="89"/>
              </w:rPr>
              <w:t>0.01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expense</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0.03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Changes in fair value of contingent consideration</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center"/>
              <w:ind w:left="99"/>
              <w:spacing w:after="0"/>
              <w:rPr>
                <w:sz w:val="20"/>
                <w:szCs w:val="20"/>
                <w:color w:val="auto"/>
              </w:rPr>
            </w:pPr>
            <w:r>
              <w:rPr>
                <w:rFonts w:ascii="Arial" w:cs="Arial" w:eastAsia="Arial" w:hAnsi="Arial"/>
                <w:sz w:val="16"/>
                <w:szCs w:val="16"/>
                <w:color w:val="auto"/>
                <w:w w:val="89"/>
              </w:rPr>
              <w:t>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89"/>
              </w:rPr>
              <w:t>0.03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Interest expense related to acquisition</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center"/>
              <w:ind w:left="99"/>
              <w:spacing w:after="0"/>
              <w:rPr>
                <w:sz w:val="20"/>
                <w:szCs w:val="20"/>
                <w:color w:val="auto"/>
              </w:rPr>
            </w:pPr>
            <w:r>
              <w:rPr>
                <w:rFonts w:ascii="Arial" w:cs="Arial" w:eastAsia="Arial" w:hAnsi="Arial"/>
                <w:sz w:val="16"/>
                <w:szCs w:val="16"/>
                <w:color w:val="auto"/>
                <w:w w:val="89"/>
              </w:rPr>
              <w:t>0.03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Tax effect from the above adjustments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5"/>
              </w:rPr>
              <w:t>(0.14)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Discrete tax benefits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5"/>
              </w:rPr>
              <w:t>(0.02)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46"/>
        </w:trPr>
        <w:tc>
          <w:tcPr>
            <w:tcW w:w="390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w w:val="95"/>
              </w:rPr>
              <w:t>Adjusted net income and adjusted net income per diluted</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8,736</w:t>
            </w:r>
          </w:p>
        </w:tc>
        <w:tc>
          <w:tcPr>
            <w:tcW w:w="3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6,573</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27,801</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w w:val="89"/>
              </w:rPr>
              <w:t>0.85</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19,335</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20"/>
              <w:spacing w:after="0" w:line="186" w:lineRule="exact"/>
              <w:rPr>
                <w:sz w:val="20"/>
                <w:szCs w:val="20"/>
                <w:color w:val="auto"/>
              </w:rPr>
            </w:pPr>
            <w:r>
              <w:rPr>
                <w:rFonts w:ascii="Arial" w:cs="Arial" w:eastAsia="Arial" w:hAnsi="Arial"/>
                <w:sz w:val="16"/>
                <w:szCs w:val="16"/>
                <w:color w:val="auto"/>
              </w:rPr>
              <w:t xml:space="preserve">share </w:t>
            </w:r>
            <w:r>
              <w:rPr>
                <w:rFonts w:ascii="Arial" w:cs="Arial" w:eastAsia="Arial" w:hAnsi="Arial"/>
                <w:sz w:val="21"/>
                <w:szCs w:val="21"/>
                <w:color w:val="auto"/>
                <w:vertAlign w:val="superscript"/>
              </w:rPr>
              <w:t>(3)</w:t>
            </w:r>
          </w:p>
        </w:tc>
        <w:tc>
          <w:tcPr>
            <w:tcW w:w="2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320" w:type="dxa"/>
            <w:vAlign w:val="bottom"/>
            <w:gridSpan w:val="3"/>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29,477</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tax effect from the above adjustments assumes an estimated effective tax rate of 18.0% for fiscal 2021 and 20.2% for fiscal 2020 based on adjusted net income.</w:t>
      </w:r>
    </w:p>
    <w:p>
      <w:pPr>
        <w:spacing w:after="0" w:line="42" w:lineRule="exact"/>
        <w:rPr>
          <w:rFonts w:ascii="Arial" w:cs="Arial" w:eastAsia="Arial" w:hAnsi="Arial"/>
          <w:sz w:val="14"/>
          <w:szCs w:val="14"/>
          <w:color w:val="auto"/>
        </w:rPr>
      </w:pPr>
    </w:p>
    <w:p>
      <w:pPr>
        <w:ind w:left="340" w:right="22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the three and nine months ended June 30, 2021, discrete tax benefits primarily are a result of excess tax benefits recognized on stock compensation. For the three months ended June 30, 2020, discrete tax benefits were primarily a result of excess tax benefits on stock compensation. For the nine months ended June 30, 2020, discrete tax benefits were primarily a result of excess tax benefits on stock compensation and an adjustment of our state deferred tax rate due to the Opengear acquisition.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net income per diluted share may not add due to the use of rounded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Historically we have financed our operations and capital expenditures principally with funds generated from operations. Our liquidity requirements arise from our working capital needs, and to a lesser extent, our need to fund capital expenditures to support our current operations and facilitate growth and expansion.</w:t>
      </w:r>
    </w:p>
    <w:p>
      <w:pPr>
        <w:spacing w:after="0" w:line="15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March 15, 2021, we entered into an amended and restated credit agreement consisting of a $200 million revolving loan. The $47.5 million term loan outstanding from the prior credit agreement was replaced by this new revolving loan along with additional proceeds of $0.6 million for a total of $48.1 million at June 30, 2021. As of June 30, 2021, $151.9 million remained available under the Revolving Loan, which included $10 million available for a letter of credit subfacility and $10 million available under a swingline subfacility, the outstanding amounts of which decrease the available commitment. During the first quarter of fiscal 2021, we repaid the final $15 million of the Revolving Loan under the prior credit agreement. For additional information regarding the terms of our Credit Facility, including the Revolving Loan and its subfacilities, see Note 7 to our condensed consolidated financial statements. Additionally, during the second quarter of fiscal 2021 we sold 4,0258,000 shares of our common stock and received net proceeds of $73.8 million.</w:t>
      </w:r>
    </w:p>
    <w:p>
      <w:pPr>
        <w:spacing w:after="0" w:line="15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twelve months and beyond. As follows, our condensed consolidated statements of cash flows for the nine months ended June 30, 2021 and 2020 is summarized: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12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color w:val="auto"/>
              </w:rPr>
              <w:t>Nine months ended June 30,</w:t>
            </w:r>
          </w:p>
        </w:tc>
      </w:tr>
      <w:tr>
        <w:trPr>
          <w:trHeight w:val="186"/>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30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2020</w:t>
            </w:r>
          </w:p>
        </w:tc>
      </w:tr>
      <w:tr>
        <w:trPr>
          <w:trHeight w:val="186"/>
        </w:trPr>
        <w:tc>
          <w:tcPr>
            <w:tcW w:w="8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42,084</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19,153</w:t>
            </w:r>
          </w:p>
        </w:tc>
      </w:tr>
      <w:tr>
        <w:trPr>
          <w:trHeight w:val="186"/>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16"/>
                <w:szCs w:val="16"/>
                <w:color w:val="auto"/>
              </w:rPr>
            </w:pPr>
          </w:p>
        </w:tc>
        <w:tc>
          <w:tcPr>
            <w:tcW w:w="1000" w:type="dxa"/>
            <w:vAlign w:val="bottom"/>
          </w:tcPr>
          <w:p>
            <w:pPr>
              <w:ind w:left="540"/>
              <w:spacing w:after="0"/>
              <w:rPr>
                <w:sz w:val="20"/>
                <w:szCs w:val="20"/>
                <w:color w:val="auto"/>
              </w:rPr>
            </w:pPr>
            <w:r>
              <w:rPr>
                <w:rFonts w:ascii="Arial" w:cs="Arial" w:eastAsia="Arial" w:hAnsi="Arial"/>
                <w:sz w:val="14"/>
                <w:szCs w:val="14"/>
                <w:color w:val="auto"/>
                <w:w w:val="99"/>
              </w:rPr>
              <w:t>(7,957)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(136,791)</w:t>
            </w:r>
          </w:p>
        </w:tc>
      </w:tr>
      <w:tr>
        <w:trPr>
          <w:trHeight w:val="192"/>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60,579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78,221</w:t>
            </w:r>
          </w:p>
        </w:tc>
      </w:tr>
      <w:tr>
        <w:trPr>
          <w:trHeight w:val="186"/>
        </w:trPr>
        <w:tc>
          <w:tcPr>
            <w:tcW w:w="8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w w:val="99"/>
              </w:rPr>
              <w:t>(1,893)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w:t>
            </w:r>
          </w:p>
        </w:tc>
      </w:tr>
      <w:tr>
        <w:trPr>
          <w:trHeight w:val="211"/>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92,813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(37,707)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 increased $22.9 million primarily as a result of:</w:t>
      </w:r>
    </w:p>
    <w:p>
      <w:pPr>
        <w:spacing w:after="0" w:line="198" w:lineRule="exact"/>
        <w:rPr>
          <w:sz w:val="20"/>
          <w:szCs w:val="20"/>
          <w:color w:val="auto"/>
        </w:rPr>
      </w:pPr>
    </w:p>
    <w:p>
      <w:pPr>
        <w:jc w:val="both"/>
        <w:ind w:left="660" w:right="700" w:hanging="328"/>
        <w:spacing w:after="0" w:line="34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changes in operating assets and liabilities (net of acquisitions) of $2.4 million. This primarily was due to a decrease in accounts receivable due to ramped up collections in the current fiscal year in addition to increased accounts receivable in the prior fiscal year; and</w:t>
      </w:r>
    </w:p>
    <w:p>
      <w:pPr>
        <w:spacing w:after="0" w:line="83" w:lineRule="exact"/>
        <w:rPr>
          <w:rFonts w:ascii="Arial" w:cs="Arial" w:eastAsia="Arial" w:hAnsi="Arial"/>
          <w:sz w:val="16"/>
          <w:szCs w:val="16"/>
          <w:color w:val="auto"/>
        </w:rPr>
      </w:pPr>
    </w:p>
    <w:p>
      <w:pPr>
        <w:ind w:left="660" w:right="1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net income of $1.9 million and non-cash adjustments of $18.1 million. These non-cash adjustments include an accrual for additional earn-out provision and increase depreciation and amortization.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 increased $125.8 million primarily as a result of:</w:t>
      </w:r>
    </w:p>
    <w:p>
      <w:pPr>
        <w:spacing w:after="0" w:line="19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$136.1 million related to the purchase of Opengear in the prior fiscal year,</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partial offset to this decrease was $2.7 million related to the purchase of Haxiot in the current fiscal year and an additional $1.0 million related to purchases of property, equipment, and facilities improvements compared to the prior fiscal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 decreased $17.6 million primarily as a result of:</w:t>
      </w:r>
    </w:p>
    <w:p>
      <w:pPr>
        <w:spacing w:after="0" w:line="198" w:lineRule="exact"/>
        <w:rPr>
          <w:sz w:val="20"/>
          <w:szCs w:val="20"/>
          <w:color w:val="auto"/>
        </w:rPr>
      </w:pPr>
    </w:p>
    <w:p>
      <w:pPr>
        <w:jc w:val="both"/>
        <w:ind w:left="660" w:right="10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of $118.4 million related to proceeds of $119.0 million long-term debt from the Revolving Loan and Term Loan in the prior fiscal year partially offset by proceeds of $0.6 million from the Revolving Loan in the current fiscal year (see Note 7 to the condensed consolidated financial statements);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reduction of $24.5 million related to payments on long-term debt;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$0.5 million related to the financing portion of acquisition earn-out payments for the Opengear acquisition; and</w:t>
      </w:r>
    </w:p>
    <w:p>
      <w:pPr>
        <w:spacing w:after="0" w:line="198" w:lineRule="exact"/>
        <w:rPr>
          <w:rFonts w:ascii="Arial" w:cs="Arial" w:eastAsia="Arial" w:hAnsi="Arial"/>
          <w:sz w:val="18"/>
          <w:szCs w:val="18"/>
          <w:color w:val="auto"/>
        </w:rPr>
      </w:pPr>
    </w:p>
    <w:p>
      <w:pPr>
        <w:ind w:left="660" w:right="74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partial offset to these decreases was an increase of $73.8 million due to the proceeds from issuance of common stock (see Note 8 to the condensed consolidated financial statements) and a $1.8 million increase in proceeds from stock award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June 30,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color w:val="auto"/>
                <w:w w:val="92"/>
              </w:rPr>
              <w:t>Payments due by fiscal period</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620" w:type="dxa"/>
            <w:vAlign w:val="bottom"/>
            <w:gridSpan w:val="2"/>
            <w:vMerge w:val="restart"/>
          </w:tcPr>
          <w:p>
            <w:pPr>
              <w:ind w:left="20"/>
              <w:spacing w:after="0"/>
              <w:rPr>
                <w:sz w:val="20"/>
                <w:szCs w:val="20"/>
                <w:color w:val="auto"/>
              </w:rPr>
            </w:pPr>
            <w:r>
              <w:rPr>
                <w:rFonts w:ascii="Arial" w:cs="Arial" w:eastAsia="Arial" w:hAnsi="Arial"/>
                <w:sz w:val="14"/>
                <w:szCs w:val="14"/>
                <w:color w:val="auto"/>
              </w:rPr>
              <w:t>($ in thousands)</w:t>
            </w:r>
          </w:p>
        </w:tc>
        <w:tc>
          <w:tcPr>
            <w:tcW w:w="20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1"/>
              </w:rPr>
              <w:t>Less than 1</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9"/>
              </w:rPr>
              <w:t>1-3 years</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rPr>
              <w:t>3-5 years</w:t>
            </w:r>
          </w:p>
        </w:tc>
        <w:tc>
          <w:tcPr>
            <w:tcW w:w="120" w:type="dxa"/>
            <w:vAlign w:val="bottom"/>
          </w:tcPr>
          <w:p>
            <w:pPr>
              <w:spacing w:after="0"/>
              <w:rPr>
                <w:sz w:val="11"/>
                <w:szCs w:val="11"/>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w w:val="99"/>
              </w:rPr>
              <w:t>Thereafter</w:t>
            </w:r>
          </w:p>
        </w:tc>
        <w:tc>
          <w:tcPr>
            <w:tcW w:w="0" w:type="dxa"/>
            <w:vAlign w:val="bottom"/>
          </w:tcPr>
          <w:p>
            <w:pPr>
              <w:spacing w:after="0"/>
              <w:rPr>
                <w:sz w:val="1"/>
                <w:szCs w:val="1"/>
                <w:color w:val="auto"/>
              </w:rPr>
            </w:pPr>
          </w:p>
        </w:tc>
      </w:tr>
      <w:tr>
        <w:trPr>
          <w:trHeight w:val="186"/>
        </w:trPr>
        <w:tc>
          <w:tcPr>
            <w:tcW w:w="4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year</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25,471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6,571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10,561</w:t>
            </w:r>
          </w:p>
        </w:tc>
        <w:tc>
          <w:tcPr>
            <w:tcW w:w="0" w:type="dxa"/>
            <w:vAlign w:val="bottom"/>
          </w:tcPr>
          <w:p>
            <w:pPr>
              <w:spacing w:after="0"/>
              <w:rPr>
                <w:sz w:val="1"/>
                <w:szCs w:val="1"/>
                <w:color w:val="auto"/>
              </w:rPr>
            </w:pP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Revolving loan</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48,118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48,118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on long-term debt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83,997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operating lease agreements included above primarily relate to office space. The table above does not include possible payments for uncertain tax positions. Our reserve for uncertain tax positions, including accrued interest and penalties, was $2.5 million as of June 30, 2021.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461" w:lineRule="auto"/>
        <w:rPr>
          <w:sz w:val="20"/>
          <w:szCs w:val="20"/>
          <w:color w:val="auto"/>
        </w:rPr>
      </w:pPr>
      <w:r>
        <w:rPr>
          <w:rFonts w:ascii="Arial" w:cs="Arial" w:eastAsia="Arial" w:hAnsi="Arial"/>
          <w:sz w:val="18"/>
          <w:szCs w:val="18"/>
          <w:color w:val="auto"/>
        </w:rPr>
        <w:t>as these royalties are calculated based on future sales of licensed products and we cannot make reliable estimates of the amount of cash payments. RECENTLY ISSUED ACCOUNTING PRONOUNCEMENTS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new accounting pronouncements, see Note 1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301" w:right="10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ongoing market risk related to changes in interest rates and foreign currency exchange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exposed to market risks related to fluctuations in interest rates on amounts borrowed under the Credit Facility. As of June 30, 2021, we had $48.1 million outstanding under our Revolving Loan. Borrowings under the Credit Facility bear a variable interest rate of LIBOR plus an applicable margin spread from 1.25% to 3.25%. The amount of the applicable margin spread is a function of our leverage ratio and is reset monthly. Based on the balance sheet position for the Revolving Loan at June 30, 2021, the annualized effect of a 25 basis point change in interest rates would increase or decrease our interest expense by $0.1 million. For additional information, see Note 7 to our condensed consolidated financial statements. For our Credit Facility, interest rate changes generally do not affect the fair value of the debt instruments, but do impact future earnings and cash flows, assuming other factors are held constant.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RISK</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4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10% change in the average exchange rate for the Euro, British Pound, Japanese Yen and Canadian Dollar to the U.S. Dollar during the first nine months of fiscal 2021 would have resulted in a 0.7% increase or decrease in stockholders' equity due to foreign currency translation.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CREDIT RISK</w:t>
      </w:r>
    </w:p>
    <w:p>
      <w:pPr>
        <w:spacing w:after="0" w:line="18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 OVER FINANCIAL REPORTING</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2021 that have materially affected, or are reasonably likely to affect, our internal control over financial reporting.</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disclosure set forth under the heading "Litigation" in Note 15 to the condensed consolidated financial statements in Part I, Item 1 of this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Except as noted below, there have been no material changes in our risk factors from those previously disclosed in Item 1A of Part I of our Annual Report on Form 10-K for the year ended September 30, 2020.</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We depend on manufacturing relationships and on limited-source suppliers, and any disruptions in these relationships may cause damage to our customer relationships.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procure all parts and certain services involved in the production of our products and subcontract most of our product manufacturing to outside firms that specialize in such services. Although most of the components of our products are available from multiple vendors, we have several single-source supplier relationships, either because alternative sources are not available or because the relationship is advantageous to us. Further, the COVID-19 pandemic has created stress on many supply chains globally. This has had some impact on our own ability to procure certain inventory and services. Prior to our first quarter of fiscal 2021 these impacts were generally small and contained. More recently we have seen more significant shortages and higher prices in our ability to procure certain inventory. In addition, shipping costs have recently increased significantly as well. We do expect these shortages and higher costs to have some impact on our business in upcoming quarters, although the severity and duration of the impacts is not clear at this time they could potentially be material. There can be no assurance that our suppliers will be able to meet our future requirements for products and components in a timely fashion. In addition, the availability and cost of many of these components to us is dependent in part on our ability to provide our suppliers with accurate forecasts of our future requirements. Delays or lost revenue could be caused by other factors beyond our control, including late deliveries by vendors of components, or force majeure events such as the ongoing pandemic. As an example of force majeure, a fire in November 2014 disrupted the operations at one of our contract manufacturers in Thailand. If we are required to identify alternative suppliers for any of our required components, qualification and pre-production periods could be lengthy and may cause an increase in component costs and delays in providing products to customers. Any extended interruption in the supply of any of the key components currently obtained from limited sources could disrupt our operations and have a material adverse effect on our customer relationships and profitability.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following table presents the information with respect to purchases made by or on behalf of Digi International Inc. or any "affiliated purchaser" (as defined in Rule 10b-18(a)(3) under the Securities Exchange Act of 1934), of our common stock during the third quarter of fiscal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1"/>
              </w:rPr>
              <w:t>Total 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 Shares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w w:val="97"/>
              </w:rPr>
              <w:t>Maximum Dollar Value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auto"/>
              </w:rPr>
              <w:t>Average Price</w:t>
            </w:r>
          </w:p>
        </w:tc>
        <w:tc>
          <w:tcPr>
            <w:tcW w:w="2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6"/>
              </w:rPr>
              <w:t>Purchased as Part of a</w:t>
            </w:r>
          </w:p>
        </w:tc>
        <w:tc>
          <w:tcPr>
            <w:tcW w:w="184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3"/>
              </w:rPr>
              <w:t>of Shares that May Yet</w:t>
            </w:r>
          </w:p>
        </w:tc>
        <w:tc>
          <w:tcPr>
            <w:tcW w:w="0" w:type="dxa"/>
            <w:vAlign w:val="bottom"/>
          </w:tcPr>
          <w:p>
            <w:pPr>
              <w:spacing w:after="0"/>
              <w:rPr>
                <w:sz w:val="1"/>
                <w:szCs w:val="1"/>
                <w:color w:val="auto"/>
              </w:rPr>
            </w:pPr>
          </w:p>
        </w:tc>
      </w:tr>
      <w:tr>
        <w:trPr>
          <w:trHeight w:val="175"/>
        </w:trPr>
        <w:tc>
          <w:tcPr>
            <w:tcW w:w="4360" w:type="dxa"/>
            <w:vAlign w:val="bottom"/>
            <w:gridSpan w:val="2"/>
            <w:vMerge w:val="restart"/>
          </w:tcPr>
          <w:p>
            <w:pPr>
              <w:ind w:left="20"/>
              <w:spacing w:after="0"/>
              <w:rPr>
                <w:sz w:val="20"/>
                <w:szCs w:val="20"/>
                <w:color w:val="auto"/>
              </w:rPr>
            </w:pPr>
            <w:r>
              <w:rPr>
                <w:rFonts w:ascii="Arial" w:cs="Arial" w:eastAsia="Arial" w:hAnsi="Arial"/>
                <w:sz w:val="18"/>
                <w:szCs w:val="18"/>
                <w:color w:val="auto"/>
              </w:rPr>
              <w:t>Period</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Publicly Announced</w:t>
            </w:r>
          </w:p>
        </w:tc>
        <w:tc>
          <w:tcPr>
            <w:tcW w:w="184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0"/>
              </w:rPr>
              <w:t>Be Purchased Under the</w:t>
            </w:r>
          </w:p>
        </w:tc>
        <w:tc>
          <w:tcPr>
            <w:tcW w:w="0" w:type="dxa"/>
            <w:vAlign w:val="bottom"/>
          </w:tcPr>
          <w:p>
            <w:pPr>
              <w:spacing w:after="0"/>
              <w:rPr>
                <w:sz w:val="1"/>
                <w:szCs w:val="1"/>
                <w:color w:val="auto"/>
              </w:rPr>
            </w:pPr>
          </w:p>
        </w:tc>
      </w:tr>
      <w:tr>
        <w:trPr>
          <w:trHeight w:val="230"/>
        </w:trPr>
        <w:tc>
          <w:tcPr>
            <w:tcW w:w="4360" w:type="dxa"/>
            <w:vAlign w:val="bottom"/>
            <w:gridSpan w:val="2"/>
            <w:vMerge w:val="continue"/>
          </w:tcPr>
          <w:p>
            <w:pPr>
              <w:spacing w:after="0"/>
              <w:rPr>
                <w:sz w:val="19"/>
                <w:szCs w:val="19"/>
                <w:color w:val="auto"/>
              </w:rPr>
            </w:pPr>
          </w:p>
        </w:tc>
        <w:tc>
          <w:tcPr>
            <w:tcW w:w="1420" w:type="dxa"/>
            <w:vAlign w:val="bottom"/>
          </w:tcPr>
          <w:p>
            <w:pPr>
              <w:jc w:val="center"/>
              <w:spacing w:after="0" w:line="230" w:lineRule="exact"/>
              <w:rPr>
                <w:sz w:val="20"/>
                <w:szCs w:val="20"/>
                <w:color w:val="auto"/>
              </w:rPr>
            </w:pPr>
            <w:r>
              <w:rPr>
                <w:rFonts w:ascii="Arial" w:cs="Arial" w:eastAsia="Arial" w:hAnsi="Arial"/>
                <w:sz w:val="18"/>
                <w:szCs w:val="18"/>
                <w:color w:val="auto"/>
                <w:w w:val="82"/>
              </w:rPr>
              <w:t>Purchased</w:t>
            </w:r>
            <w:r>
              <w:rPr>
                <w:rFonts w:ascii="Arial" w:cs="Arial" w:eastAsia="Arial" w:hAnsi="Arial"/>
                <w:sz w:val="23"/>
                <w:szCs w:val="23"/>
                <w:color w:val="auto"/>
                <w:w w:val="82"/>
                <w:vertAlign w:val="superscript"/>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Paid per Share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Program</w:t>
            </w:r>
          </w:p>
        </w:tc>
        <w:tc>
          <w:tcPr>
            <w:tcW w:w="3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2021 - April 30, 2021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May 1, 2021 - May 31, 2021</w:t>
            </w:r>
          </w:p>
        </w:tc>
        <w:tc>
          <w:tcPr>
            <w:tcW w:w="1420" w:type="dxa"/>
            <w:vAlign w:val="bottom"/>
          </w:tcPr>
          <w:p>
            <w:pPr>
              <w:jc w:val="right"/>
              <w:spacing w:after="0"/>
              <w:rPr>
                <w:sz w:val="20"/>
                <w:szCs w:val="20"/>
                <w:color w:val="auto"/>
              </w:rPr>
            </w:pPr>
            <w:r>
              <w:rPr>
                <w:rFonts w:ascii="Arial" w:cs="Arial" w:eastAsia="Arial" w:hAnsi="Arial"/>
                <w:sz w:val="18"/>
                <w:szCs w:val="18"/>
                <w:color w:val="auto"/>
              </w:rPr>
              <w:t>6,919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2021 -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 shares reported were forfeited by employees in connection with the satisfaction of tax withholding obligations related to the vesting of restricted stock units.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90"/>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172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rPr>
              <w:t>Exhibit No.</w:t>
            </w:r>
          </w:p>
        </w:tc>
        <w:tc>
          <w:tcPr>
            <w:tcW w:w="78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Description</w:t>
            </w:r>
          </w:p>
        </w:tc>
        <w:tc>
          <w:tcPr>
            <w:tcW w:w="1540" w:type="dxa"/>
            <w:vAlign w:val="bottom"/>
          </w:tcPr>
          <w:p>
            <w:pPr>
              <w:ind w:left="20"/>
              <w:spacing w:after="0"/>
              <w:rPr>
                <w:sz w:val="20"/>
                <w:szCs w:val="20"/>
                <w:color w:val="auto"/>
              </w:rPr>
            </w:pPr>
            <w:r>
              <w:rPr>
                <w:rFonts w:ascii="Arial" w:cs="Arial" w:eastAsia="Arial" w:hAnsi="Arial"/>
                <w:sz w:val="18"/>
                <w:szCs w:val="18"/>
                <w:color w:val="auto"/>
              </w:rPr>
              <w:t>Method of Filing</w:t>
            </w:r>
          </w:p>
        </w:tc>
      </w:tr>
      <w:tr>
        <w:trPr>
          <w:trHeight w:val="176"/>
        </w:trPr>
        <w:tc>
          <w:tcPr>
            <w:tcW w:w="94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78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w:t>
            </w:r>
          </w:p>
        </w:tc>
        <w:tc>
          <w:tcPr>
            <w:tcW w:w="7840" w:type="dxa"/>
            <w:vAlign w:val="bottom"/>
            <w:gridSpan w:val="7"/>
          </w:tcPr>
          <w:p>
            <w:pPr>
              <w:spacing w:after="0" w:line="169"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Purchase Agreement dated as of March 3, 2021 by and between the Company and Piper Sandler &amp; Co., as</w:t>
              </w:r>
            </w:hyperlink>
          </w:p>
        </w:tc>
        <w:tc>
          <w:tcPr>
            <w:tcW w:w="1540" w:type="dxa"/>
            <w:vAlign w:val="bottom"/>
          </w:tcPr>
          <w:p>
            <w:pPr>
              <w:jc w:val="center"/>
              <w:ind w:left="30"/>
              <w:spacing w:after="0" w:line="169" w:lineRule="exact"/>
              <w:rPr>
                <w:sz w:val="20"/>
                <w:szCs w:val="20"/>
                <w:color w:val="auto"/>
              </w:rPr>
            </w:pPr>
            <w:r>
              <w:rPr>
                <w:rFonts w:ascii="Arial" w:cs="Arial" w:eastAsia="Arial" w:hAnsi="Arial"/>
                <w:sz w:val="18"/>
                <w:szCs w:val="18"/>
                <w:color w:val="auto"/>
                <w:w w:val="91"/>
              </w:rPr>
              <w:t>Incorporated by</w:t>
            </w:r>
          </w:p>
        </w:tc>
      </w:tr>
      <w:tr>
        <w:trPr>
          <w:trHeight w:val="162"/>
        </w:trPr>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40" w:type="dxa"/>
            <w:vAlign w:val="bottom"/>
            <w:tcBorders>
              <w:top w:val="single" w:sz="8" w:color="0000FF"/>
            </w:tcBorders>
            <w:gridSpan w:val="6"/>
          </w:tcPr>
          <w:p>
            <w:pPr>
              <w:spacing w:after="0" w:line="162" w:lineRule="exact"/>
              <w:rPr>
                <w:rFonts w:ascii="Arial" w:cs="Arial" w:eastAsia="Arial" w:hAnsi="Arial"/>
                <w:sz w:val="18"/>
                <w:szCs w:val="18"/>
                <w:color w:val="0000FF"/>
              </w:rPr>
            </w:pPr>
            <w:hyperlink r:id="rId49">
              <w:r>
                <w:rPr>
                  <w:rFonts w:ascii="Arial" w:cs="Arial" w:eastAsia="Arial" w:hAnsi="Arial"/>
                  <w:sz w:val="18"/>
                  <w:szCs w:val="18"/>
                  <w:color w:val="0000FF"/>
                </w:rPr>
                <w:t xml:space="preserve">representative of the several underwriters named in Schedule I thereto </w:t>
              </w:r>
              <w:r>
                <w:rPr>
                  <w:rFonts w:ascii="Arial" w:cs="Arial" w:eastAsia="Arial" w:hAnsi="Arial"/>
                  <w:sz w:val="18"/>
                  <w:szCs w:val="18"/>
                  <w:color w:val="000000"/>
                </w:rPr>
                <w:t>(1)</w:t>
              </w:r>
            </w:hyperlink>
          </w:p>
        </w:tc>
        <w:tc>
          <w:tcPr>
            <w:tcW w:w="200" w:type="dxa"/>
            <w:vAlign w:val="bottom"/>
          </w:tcPr>
          <w:p>
            <w:pPr>
              <w:spacing w:after="0"/>
              <w:rPr>
                <w:sz w:val="14"/>
                <w:szCs w:val="14"/>
                <w:color w:val="auto"/>
              </w:rPr>
            </w:pPr>
          </w:p>
        </w:tc>
        <w:tc>
          <w:tcPr>
            <w:tcW w:w="1540" w:type="dxa"/>
            <w:vAlign w:val="bottom"/>
          </w:tcPr>
          <w:p>
            <w:pPr>
              <w:jc w:val="center"/>
              <w:ind w:left="30"/>
              <w:spacing w:after="0" w:line="162" w:lineRule="exact"/>
              <w:rPr>
                <w:sz w:val="20"/>
                <w:szCs w:val="20"/>
                <w:color w:val="auto"/>
              </w:rPr>
            </w:pPr>
            <w:r>
              <w:rPr>
                <w:rFonts w:ascii="Arial" w:cs="Arial" w:eastAsia="Arial" w:hAnsi="Arial"/>
                <w:sz w:val="18"/>
                <w:szCs w:val="18"/>
                <w:color w:val="auto"/>
                <w:w w:val="89"/>
              </w:rPr>
              <w:t>Reference</w:t>
            </w:r>
          </w:p>
        </w:tc>
      </w:tr>
      <w:tr>
        <w:trPr>
          <w:trHeight w:val="250"/>
        </w:trPr>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50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0"/>
              </w:rPr>
              <w:t>Restated Certificate of Incorporation of the Company, as amended (2)</w:t>
            </w:r>
          </w:p>
        </w:tc>
        <w:tc>
          <w:tcPr>
            <w:tcW w:w="2800" w:type="dxa"/>
            <w:vAlign w:val="bottom"/>
            <w:gridSpan w:val="2"/>
          </w:tcPr>
          <w:p>
            <w:pPr>
              <w:spacing w:after="0"/>
              <w:rPr>
                <w:sz w:val="21"/>
                <w:szCs w:val="21"/>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1"/>
              </w:rPr>
              <w:t>Incorporated by</w:t>
            </w:r>
          </w:p>
        </w:tc>
      </w:tr>
      <w:tr>
        <w:trPr>
          <w:trHeight w:val="230"/>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9"/>
              </w:rPr>
              <w:t>Reference</w:t>
            </w:r>
          </w:p>
        </w:tc>
      </w:tr>
      <w:tr>
        <w:trPr>
          <w:trHeight w:val="418"/>
        </w:trPr>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7840" w:type="dxa"/>
            <w:vAlign w:val="bottom"/>
            <w:gridSpan w:val="7"/>
          </w:tcPr>
          <w:p>
            <w:pPr>
              <w:spacing w:after="0"/>
              <w:rPr>
                <w:rFonts w:ascii="Arial" w:cs="Arial" w:eastAsia="Arial" w:hAnsi="Arial"/>
                <w:sz w:val="18"/>
                <w:szCs w:val="18"/>
                <w:color w:val="0000FF"/>
              </w:rPr>
            </w:pPr>
            <w:hyperlink r:id="rId50">
              <w:r>
                <w:rPr>
                  <w:rFonts w:ascii="Arial" w:cs="Arial" w:eastAsia="Arial" w:hAnsi="Arial"/>
                  <w:sz w:val="18"/>
                  <w:szCs w:val="18"/>
                  <w:color w:val="0000FF"/>
                </w:rPr>
                <w:t xml:space="preserve">Amended and Restated By-Laws of the Company </w:t>
              </w:r>
            </w:hyperlink>
            <w:r>
              <w:rPr>
                <w:rFonts w:ascii="Arial" w:cs="Arial" w:eastAsia="Arial" w:hAnsi="Arial"/>
                <w:sz w:val="18"/>
                <w:szCs w:val="18"/>
                <w:color w:val="000000"/>
              </w:rPr>
              <w:t>(3)</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1"/>
              </w:rPr>
              <w:t>Incorporated by</w:t>
            </w:r>
          </w:p>
        </w:tc>
      </w:tr>
      <w:tr>
        <w:trPr>
          <w:trHeight w:val="210"/>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9"/>
              </w:rPr>
              <w:t>Reference</w:t>
            </w:r>
          </w:p>
        </w:tc>
      </w:tr>
      <w:tr>
        <w:trPr>
          <w:trHeight w:val="404"/>
        </w:trPr>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476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Rule 13a-14(a)/15d-14(a) Certification of Chief Executive Officer</w:t>
              </w:r>
            </w:hyperlink>
          </w:p>
        </w:tc>
        <w:tc>
          <w:tcPr>
            <w:tcW w:w="3080" w:type="dxa"/>
            <w:vAlign w:val="bottom"/>
            <w:gridSpan w:val="3"/>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r>
      <w:tr>
        <w:trPr>
          <w:trHeight w:val="439"/>
        </w:trPr>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7840" w:type="dxa"/>
            <w:vAlign w:val="bottom"/>
            <w:gridSpan w:val="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Rule 13a-14(a)/15d-14(a) Certification of Chief Financial Officer</w:t>
              </w:r>
            </w:hyperlink>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r>
      <w:tr>
        <w:trPr>
          <w:trHeight w:val="439"/>
        </w:trPr>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Section 1350 Certification</w:t>
              </w:r>
            </w:hyperlink>
          </w:p>
        </w:tc>
        <w:tc>
          <w:tcPr>
            <w:tcW w:w="2800" w:type="dxa"/>
            <w:vAlign w:val="bottom"/>
            <w:tcBorders>
              <w:top w:val="single" w:sz="8" w:color="0000FF"/>
            </w:tcBorders>
            <w:gridSpan w:val="2"/>
          </w:tcPr>
          <w:p>
            <w:pPr>
              <w:spacing w:after="0"/>
              <w:rPr>
                <w:sz w:val="24"/>
                <w:szCs w:val="24"/>
                <w:color w:val="auto"/>
              </w:rPr>
            </w:pPr>
          </w:p>
        </w:tc>
        <w:tc>
          <w:tcPr>
            <w:tcW w:w="3140" w:type="dxa"/>
            <w:vAlign w:val="bottom"/>
            <w:gridSpan w:val="4"/>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r>
      <w:tr>
        <w:trPr>
          <w:trHeight w:val="425"/>
        </w:trPr>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w w:val="94"/>
              </w:rPr>
              <w:t>The following materials from Digi International Inc.'s Quarterly Report on Form 10-Q for the fiscal period</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Filed Electronically</w:t>
            </w:r>
          </w:p>
        </w:tc>
      </w:tr>
      <w:tr>
        <w:trPr>
          <w:trHeight w:val="176"/>
        </w:trPr>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40" w:type="dxa"/>
            <w:vAlign w:val="bottom"/>
            <w:gridSpan w:val="7"/>
          </w:tcPr>
          <w:p>
            <w:pPr>
              <w:spacing w:after="0" w:line="176" w:lineRule="exact"/>
              <w:rPr>
                <w:sz w:val="20"/>
                <w:szCs w:val="20"/>
                <w:color w:val="auto"/>
              </w:rPr>
            </w:pPr>
            <w:r>
              <w:rPr>
                <w:rFonts w:ascii="Arial" w:cs="Arial" w:eastAsia="Arial" w:hAnsi="Arial"/>
                <w:sz w:val="18"/>
                <w:szCs w:val="18"/>
                <w:color w:val="auto"/>
                <w:w w:val="96"/>
              </w:rPr>
              <w:t>ended June 30, 2021, as filed with the Security and Exchange Commission, formatted in iXBRL (Inline</w:t>
            </w:r>
          </w:p>
        </w:tc>
        <w:tc>
          <w:tcPr>
            <w:tcW w:w="1540" w:type="dxa"/>
            <w:vAlign w:val="bottom"/>
          </w:tcPr>
          <w:p>
            <w:pPr>
              <w:spacing w:after="0"/>
              <w:rPr>
                <w:sz w:val="15"/>
                <w:szCs w:val="15"/>
                <w:color w:val="auto"/>
              </w:rPr>
            </w:pPr>
          </w:p>
        </w:tc>
      </w:tr>
      <w:tr>
        <w:trPr>
          <w:trHeight w:val="191"/>
        </w:trPr>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40" w:type="dxa"/>
            <w:vAlign w:val="bottom"/>
            <w:gridSpan w:val="7"/>
          </w:tcPr>
          <w:p>
            <w:pPr>
              <w:spacing w:after="0" w:line="191" w:lineRule="exact"/>
              <w:rPr>
                <w:sz w:val="20"/>
                <w:szCs w:val="20"/>
                <w:color w:val="auto"/>
              </w:rPr>
            </w:pPr>
            <w:r>
              <w:rPr>
                <w:rFonts w:ascii="Arial" w:cs="Arial" w:eastAsia="Arial" w:hAnsi="Arial"/>
                <w:sz w:val="18"/>
                <w:szCs w:val="18"/>
                <w:color w:val="auto"/>
                <w:w w:val="96"/>
              </w:rPr>
              <w:t>eXtensible Business Reporting Language): (i) Condensed Consolidated Statements of Operations; (ii)</w:t>
            </w:r>
          </w:p>
        </w:tc>
        <w:tc>
          <w:tcPr>
            <w:tcW w:w="1540" w:type="dxa"/>
            <w:vAlign w:val="bottom"/>
          </w:tcPr>
          <w:p>
            <w:pPr>
              <w:spacing w:after="0"/>
              <w:rPr>
                <w:sz w:val="16"/>
                <w:szCs w:val="16"/>
                <w:color w:val="auto"/>
              </w:rPr>
            </w:pPr>
          </w:p>
        </w:tc>
      </w:tr>
    </w:tbl>
    <w:p>
      <w:pPr>
        <w:ind w:left="1720" w:right="1640"/>
        <w:spacing w:after="0" w:line="248" w:lineRule="auto"/>
        <w:rPr>
          <w:sz w:val="20"/>
          <w:szCs w:val="20"/>
          <w:color w:val="auto"/>
        </w:rPr>
      </w:pPr>
      <w:r>
        <w:rPr>
          <w:rFonts w:ascii="Arial" w:cs="Arial" w:eastAsia="Arial" w:hAnsi="Arial"/>
          <w:sz w:val="16"/>
          <w:szCs w:val="16"/>
          <w:color w:val="auto"/>
        </w:rPr>
        <w:t>Condensed Consolidated Statements of Comprehensive Income; (iii) Condensed Consolidated Balance Sheets; (iv) Condensed Consolidated Statements of Cash Flows; (v) Condensed Consolidated Statements of Stockholders' Equity; and (vi) the Notes to the Condensed Consolidated Financial Statements.</w:t>
      </w:r>
    </w:p>
    <w:p>
      <w:pPr>
        <w:spacing w:after="0" w:line="224" w:lineRule="exact"/>
        <w:rPr>
          <w:sz w:val="20"/>
          <w:szCs w:val="20"/>
          <w:color w:val="auto"/>
        </w:rPr>
      </w:pPr>
    </w:p>
    <w:p>
      <w:pPr>
        <w:ind w:left="1720" w:right="1640" w:hanging="1095"/>
        <w:spacing w:after="0" w:line="235" w:lineRule="auto"/>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cover page from Digi International Inc.'s Quarterly Report on Form 10-Q for the period ended June 30, 2021 is formatted in iXBRL (included in Exhibit 101).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right="380" w:firstLine="8"/>
        <w:spacing w:after="0" w:line="262" w:lineRule="auto"/>
        <w:tabs>
          <w:tab w:leader="none" w:pos="121" w:val="left"/>
        </w:tabs>
        <w:numPr>
          <w:ilvl w:val="0"/>
          <w:numId w:val="29"/>
        </w:numPr>
        <w:rPr>
          <w:rFonts w:ascii="Arial" w:cs="Arial" w:eastAsia="Arial" w:hAnsi="Arial"/>
          <w:sz w:val="16"/>
          <w:szCs w:val="16"/>
          <w:color w:val="auto"/>
        </w:rPr>
      </w:pPr>
      <w:r>
        <w:rPr>
          <w:rFonts w:ascii="Arial" w:cs="Arial" w:eastAsia="Arial" w:hAnsi="Arial"/>
          <w:sz w:val="16"/>
          <w:szCs w:val="16"/>
          <w:color w:val="auto"/>
        </w:rPr>
        <w:t>Schedules have been omitted pursuant to Item 601(a)(5) of Regulation S-K. Digi agrees to furnish to the Commission a copy of any omitted schedule upon request. ** Management contract or compensatory plan or arrangement required to be filed as an exhibit to this Form 10-Q.</w:t>
      </w:r>
    </w:p>
    <w:p>
      <w:pPr>
        <w:spacing w:after="0" w:line="204" w:lineRule="exact"/>
        <w:rPr>
          <w:rFonts w:ascii="Arial" w:cs="Arial" w:eastAsia="Arial" w:hAnsi="Arial"/>
          <w:sz w:val="16"/>
          <w:szCs w:val="16"/>
          <w:color w:val="auto"/>
        </w:rPr>
      </w:pPr>
    </w:p>
    <w:p>
      <w:pPr>
        <w:ind w:left="640" w:hanging="308"/>
        <w:spacing w:after="0"/>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1.1 to the Company's Current Report on Form 8-K filed on March 5, 2021.</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3(a) to the Company's Annual Report on Form 10-K for the year ended September 30, 1993.</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on April 30, 2020.</w:t>
      </w: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DIGI INTERNATIONAL INC.</w:t>
      </w:r>
    </w:p>
    <w:p>
      <w:pPr>
        <w:spacing w:after="0" w:line="198" w:lineRule="exact"/>
        <w:rPr>
          <w:sz w:val="20"/>
          <w:szCs w:val="20"/>
          <w:color w:val="auto"/>
        </w:rPr>
      </w:pPr>
    </w:p>
    <w:p>
      <w:pPr>
        <w:ind w:left="20"/>
        <w:spacing w:after="0"/>
        <w:tabs>
          <w:tab w:leader="none" w:pos="700" w:val="left"/>
          <w:tab w:leader="none" w:pos="4720" w:val="left"/>
          <w:tab w:leader="none" w:pos="5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James J. Loch</w:t>
      </w:r>
    </w:p>
    <w:p>
      <w:pPr>
        <w:spacing w:after="0" w:line="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Chief Financial Officer and Treasurer</w:t>
      </w:r>
    </w:p>
    <w:p>
      <w:pPr>
        <w:ind w:left="5460"/>
        <w:spacing w:after="0"/>
        <w:rPr>
          <w:sz w:val="20"/>
          <w:szCs w:val="20"/>
          <w:color w:val="auto"/>
        </w:rPr>
      </w:pPr>
      <w:r>
        <w:rPr>
          <w:rFonts w:ascii="Arial" w:cs="Arial" w:eastAsia="Arial" w:hAnsi="Arial"/>
          <w:sz w:val="18"/>
          <w:szCs w:val="18"/>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00"/>
          </w:cols>
          <w:pgMar w:left="320" w:top="125" w:right="11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Digi International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80" w:firstLine="8"/>
        <w:spacing w:after="0" w:line="263"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0" w:firstLine="8"/>
        <w:spacing w:after="0" w:line="263"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42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60" w:firstLine="8"/>
        <w:spacing w:after="0" w:line="277" w:lineRule="auto"/>
        <w:tabs>
          <w:tab w:leader="none" w:pos="2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August 6, 2021</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Ronald E. Konezny</w:t>
            </w:r>
          </w:p>
        </w:tc>
      </w:tr>
      <w:tr>
        <w:trPr>
          <w:trHeight w:val="222"/>
        </w:trPr>
        <w:tc>
          <w:tcPr>
            <w:tcW w:w="50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Ronald E. Konezny</w:t>
            </w:r>
          </w:p>
        </w:tc>
      </w:tr>
      <w:tr>
        <w:trPr>
          <w:trHeight w:val="230"/>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Digi International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80" w:firstLine="8"/>
        <w:spacing w:after="0" w:line="263"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0" w:firstLine="8"/>
        <w:spacing w:after="0" w:line="263"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42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60" w:firstLine="8"/>
        <w:spacing w:after="0" w:line="277" w:lineRule="auto"/>
        <w:tabs>
          <w:tab w:leader="none" w:pos="2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August 6, 2021</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J. Loch</w:t>
            </w:r>
          </w:p>
        </w:tc>
      </w:tr>
      <w:tr>
        <w:trPr>
          <w:trHeight w:val="222"/>
        </w:trPr>
        <w:tc>
          <w:tcPr>
            <w:tcW w:w="50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James J. Loch</w:t>
            </w:r>
          </w:p>
        </w:tc>
      </w:tr>
      <w:tr>
        <w:trPr>
          <w:trHeight w:val="230"/>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No.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Digi International Inc. (the Registrant) on Form 10-Q for the fiscal quarter ended June 30, 2021 as filed with the Securities and Exchange Commission on the date hereof, each of the undersigned certifies, pursuant to 18 U.S.C. §1350, as adopted pursuant to §906 of the Sarbanes-Oxley Act of 2002, that:</w:t>
      </w:r>
    </w:p>
    <w:p>
      <w:pPr>
        <w:spacing w:after="0" w:line="211"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760" w:firstLine="8"/>
        <w:spacing w:after="0" w:line="277" w:lineRule="auto"/>
        <w:tabs>
          <w:tab w:leader="none" w:pos="2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on Form 10-Q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6, 2021</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Ronald E. Konezny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J. Loch</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6"/>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04"/>
    </w:lvl>
  </w:abstractNum>
  <w:abstractNum w:abstractNumId="28">
    <w:nsid w:val="3006C83E"/>
    <w:multiLevelType w:val="hybridMultilevel"/>
    <w:lvl w:ilvl="0">
      <w:lvlJc w:val="left"/>
      <w:lvlText w:val="*"/>
      <w:numFmt w:val="bullet"/>
      <w:start w:val="1"/>
    </w:lvl>
    <w:lvl w:ilvl="1">
      <w:lvlJc w:val="left"/>
      <w:lvlText w:val="(%2)"/>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5"/>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5"/>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9" Type="http://schemas.openxmlformats.org/officeDocument/2006/relationships/hyperlink" Target="http://www.sec.gov/ix?doc=/Archives/edgar/data/0000854775/000110465921032353/tm217969d5_8k.htm" TargetMode="External"/><Relationship Id="rId50" Type="http://schemas.openxmlformats.org/officeDocument/2006/relationships/hyperlink" Target="http://www.sec.gov/Archives/edgar/data/854775/000110465920054438/tm2018116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2021-08-06T17:30:45Z</dcterms:created>
  <dcterms:modified xsi:type="dcterms:W3CDTF">2021-08-06T17:30:45Z</dcterms:modified>
</cp:coreProperties>
</file>