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 (d)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10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 (d)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rPr>
        <w:t>.</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001-34033 </w:t>
      </w:r>
    </w:p>
    <w:p>
      <w:pPr>
        <w:pStyle w:val="TextBody"/>
        <w:bidi w:val="0"/>
        <w:spacing w:before="120" w:after="283"/>
        <w:jc w:val="center"/>
        <w:rPr/>
      </w:pPr>
      <w:r>
        <w:rPr/>
        <w:drawing>
          <wp:inline distT="0" distB="0" distL="0" distR="0">
            <wp:extent cx="11239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3429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DIGI INTERNATIONAL INC. </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677"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41-1532464</w:t>
            </w:r>
          </w:p>
        </w:tc>
      </w:tr>
      <w:tr>
        <w:trPr/>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4178" w:type="dxa"/>
        <w:jc w:val="left"/>
        <w:tblInd w:w="0" w:type="dxa"/>
        <w:tblLayout w:type="fixed"/>
        <w:tblCellMar>
          <w:top w:w="28" w:type="dxa"/>
          <w:left w:w="28" w:type="dxa"/>
          <w:bottom w:w="28" w:type="dxa"/>
          <w:right w:w="28" w:type="dxa"/>
        </w:tblCellMar>
      </w:tblPr>
      <w:tblGrid>
        <w:gridCol w:w="683"/>
        <w:gridCol w:w="599"/>
        <w:gridCol w:w="603"/>
        <w:gridCol w:w="344"/>
        <w:gridCol w:w="344"/>
        <w:gridCol w:w="349"/>
        <w:gridCol w:w="109"/>
        <w:gridCol w:w="109"/>
        <w:gridCol w:w="109"/>
        <w:gridCol w:w="272"/>
        <w:gridCol w:w="272"/>
        <w:gridCol w:w="385"/>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9350 Excelsior Blvd.</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Suite 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Hopkins</w:t>
            </w:r>
          </w:p>
        </w:tc>
        <w:tc>
          <w:tcPr>
            <w:tcW w:w="1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55343</w:t>
            </w:r>
          </w:p>
        </w:tc>
      </w:tr>
      <w:tr>
        <w:trPr/>
        <w:tc>
          <w:tcPr>
            <w:tcW w:w="292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(952) 912-3444 </w:t>
      </w:r>
    </w:p>
    <w:p>
      <w:pPr>
        <w:pStyle w:val="TextBody"/>
        <w:bidi w:val="0"/>
        <w:spacing w:lineRule="auto" w:line="288" w:before="20" w:after="283"/>
        <w:jc w:val="center"/>
        <w:rPr>
          <w:rFonts w:ascii="Times New Roman;serif" w:hAnsi="Times New Roman;serif"/>
          <w:b w:val="false"/>
          <w:color w:val="000000"/>
          <w:sz w:val="19"/>
        </w:rPr>
      </w:pPr>
      <w:r>
        <w:rPr>
          <w:rFonts w:ascii="Times New Roman;serif" w:hAnsi="Times New Roman;serif"/>
          <w:b w:val="false"/>
          <w:color w:val="000000"/>
          <w:sz w:val="19"/>
        </w:rPr>
        <w:t>(Registrant's telephone number, including area code)</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454"/>
        <w:gridCol w:w="454"/>
        <w:gridCol w:w="456"/>
        <w:gridCol w:w="109"/>
        <w:gridCol w:w="109"/>
        <w:gridCol w:w="109"/>
        <w:gridCol w:w="1019"/>
        <w:gridCol w:w="1019"/>
        <w:gridCol w:w="1441"/>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DGII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2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1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On July 31, 2026, there were 37,948,123 shares of the registrant's $.01 par value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INDEX</w:t>
      </w:r>
    </w:p>
    <w:tbl>
      <w:tblPr>
        <w:tblW w:w="8641" w:type="dxa"/>
        <w:jc w:val="left"/>
        <w:tblInd w:w="0" w:type="dxa"/>
        <w:tblLayout w:type="fixed"/>
        <w:tblCellMar>
          <w:top w:w="28" w:type="dxa"/>
          <w:left w:w="28" w:type="dxa"/>
          <w:bottom w:w="28" w:type="dxa"/>
          <w:right w:w="28" w:type="dxa"/>
        </w:tblCellMar>
      </w:tblPr>
      <w:tblGrid>
        <w:gridCol w:w="2932"/>
        <w:gridCol w:w="2582"/>
        <w:gridCol w:w="2586"/>
        <w:gridCol w:w="158"/>
        <w:gridCol w:w="158"/>
        <w:gridCol w:w="225"/>
      </w:tblGrid>
      <w:tr>
        <w:trPr/>
        <w:tc>
          <w:tcPr>
            <w:tcW w:w="293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10">
              <w:r>
                <w:rPr>
                  <w:rStyle w:val="InternetLink"/>
                  <w:rFonts w:ascii="Times New Roman;serif" w:hAnsi="Times New Roman;serif"/>
                  <w:b w:val="false"/>
                  <w:color w:val="0000FF"/>
                  <w:sz w:val="20"/>
                  <w:u w:val="single"/>
                </w:rPr>
                <w:t>PART I. FINANCIAL INFORMATION</w:t>
              </w:r>
            </w:hyperlink>
          </w:p>
        </w:tc>
        <w:tc>
          <w:tcPr>
            <w:tcW w:w="5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13">
              <w:r>
                <w:rPr>
                  <w:rStyle w:val="InternetLink"/>
                  <w:rFonts w:ascii="Times New Roman;serif" w:hAnsi="Times New Roman;serif"/>
                  <w:b w:val="false"/>
                  <w:color w:val="0000FF"/>
                  <w:sz w:val="20"/>
                  <w:u w:val="single"/>
                </w:rPr>
                <w:t>ITEM 1. Unaudited Financial Statements:</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16">
              <w:r>
                <w:rPr>
                  <w:rStyle w:val="InternetLink"/>
                  <w:rFonts w:ascii="Times New Roman;serif" w:hAnsi="Times New Roman;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16">
              <w:r>
                <w:rPr>
                  <w:rStyle w:val="InternetLink"/>
                  <w:rFonts w:ascii="Times New Roman;serif" w:hAnsi="Times New Roman;serif"/>
                  <w:b w:val="false"/>
                  <w:color w:val="0000FF"/>
                  <w:sz w:val="20"/>
                  <w:u w:val="single"/>
                </w:rPr>
                <w:t>1</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19">
              <w:r>
                <w:rPr>
                  <w:rStyle w:val="InternetLink"/>
                  <w:rFonts w:ascii="Times New Roman;serif" w:hAnsi="Times New Roman;serif"/>
                  <w:b w:val="false"/>
                  <w:color w:val="0000FF"/>
                  <w:sz w:val="20"/>
                  <w:u w:val="singl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19">
              <w:r>
                <w:rPr>
                  <w:rStyle w:val="InternetLink"/>
                  <w:rFonts w:ascii="Times New Roman;serif" w:hAnsi="Times New Roman;serif"/>
                  <w:b w:val="false"/>
                  <w:color w:val="0000FF"/>
                  <w:sz w:val="20"/>
                  <w:u w:val="single"/>
                </w:rPr>
                <w:t>2</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22">
              <w:r>
                <w:rPr>
                  <w:rStyle w:val="InternetLink"/>
                  <w:rFonts w:ascii="Times New Roman;serif" w:hAnsi="Times New Roman;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22">
              <w:r>
                <w:rPr>
                  <w:rStyle w:val="InternetLink"/>
                  <w:rFonts w:ascii="Times New Roman;serif" w:hAnsi="Times New Roman;serif"/>
                  <w:b w:val="false"/>
                  <w:color w:val="0000FF"/>
                  <w:sz w:val="20"/>
                  <w:u w:val="single"/>
                </w:rPr>
                <w:t>3</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25">
              <w:r>
                <w:rPr>
                  <w:rStyle w:val="InternetLink"/>
                  <w:rFonts w:ascii="Times New Roman;serif" w:hAnsi="Times New Roman;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25">
              <w:r>
                <w:rPr>
                  <w:rStyle w:val="InternetLink"/>
                  <w:rFonts w:ascii="Times New Roman;serif" w:hAnsi="Times New Roman;serif"/>
                  <w:b w:val="false"/>
                  <w:color w:val="0000FF"/>
                  <w:sz w:val="20"/>
                  <w:u w:val="single"/>
                </w:rPr>
                <w:t>4</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28">
              <w:r>
                <w:rPr>
                  <w:rStyle w:val="InternetLink"/>
                  <w:rFonts w:ascii="Times New Roman;serif" w:hAnsi="Times New Roman;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28">
              <w:r>
                <w:rPr>
                  <w:rStyle w:val="InternetLink"/>
                  <w:rFonts w:ascii="Times New Roman;serif" w:hAnsi="Times New Roman;serif"/>
                  <w:b w:val="false"/>
                  <w:color w:val="0000FF"/>
                  <w:sz w:val="20"/>
                  <w:u w:val="single"/>
                </w:rPr>
                <w:t>5</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31">
              <w:r>
                <w:rPr>
                  <w:rStyle w:val="InternetLink"/>
                  <w:rFonts w:ascii="Times New Roman;serif" w:hAnsi="Times New Roman;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31">
              <w:r>
                <w:rPr>
                  <w:rStyle w:val="InternetLink"/>
                  <w:rFonts w:ascii="Times New Roman;serif" w:hAnsi="Times New Roman;serif"/>
                  <w:b w:val="false"/>
                  <w:color w:val="0000FF"/>
                  <w:sz w:val="20"/>
                  <w:u w:val="single"/>
                </w:rPr>
                <w:t>6</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7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73">
              <w:r>
                <w:rPr>
                  <w:rStyle w:val="InternetLink"/>
                  <w:rFonts w:ascii="Times New Roman;serif" w:hAnsi="Times New Roman;serif"/>
                  <w:b w:val="false"/>
                  <w:color w:val="0000FF"/>
                  <w:sz w:val="20"/>
                  <w:u w:val="single"/>
                </w:rPr>
                <w:t>19</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82">
              <w:r>
                <w:rPr>
                  <w:rStyle w:val="InternetLink"/>
                  <w:rFonts w:ascii="Times New Roman;serif" w:hAnsi="Times New Roman;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82">
              <w:r>
                <w:rPr>
                  <w:rStyle w:val="InternetLink"/>
                  <w:rFonts w:ascii="Times New Roman;serif" w:hAnsi="Times New Roman;serif"/>
                  <w:b w:val="false"/>
                  <w:color w:val="0000FF"/>
                  <w:sz w:val="20"/>
                  <w:u w:val="single"/>
                </w:rPr>
                <w:t>29</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85">
              <w:r>
                <w:rPr>
                  <w:rStyle w:val="InternetLink"/>
                  <w:rFonts w:ascii="Times New Roman;serif" w:hAnsi="Times New Roman;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85">
              <w:r>
                <w:rPr>
                  <w:rStyle w:val="InternetLink"/>
                  <w:rFonts w:ascii="Times New Roman;serif" w:hAnsi="Times New Roman;serif"/>
                  <w:b w:val="false"/>
                  <w:color w:val="0000FF"/>
                  <w:sz w:val="20"/>
                  <w:u w:val="single"/>
                </w:rPr>
                <w:t>31</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88">
              <w:r>
                <w:rPr>
                  <w:rStyle w:val="InternetLink"/>
                  <w:rFonts w:ascii="Times New Roman;serif" w:hAnsi="Times New Roman;serif"/>
                  <w:b w:val="false"/>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91">
              <w:r>
                <w:rPr>
                  <w:rStyle w:val="InternetLink"/>
                  <w:rFonts w:ascii="Times New Roman;serif" w:hAnsi="Times New Roman;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91">
              <w:r>
                <w:rPr>
                  <w:rStyle w:val="InternetLink"/>
                  <w:rFonts w:ascii="Times New Roman;serif" w:hAnsi="Times New Roman;serif"/>
                  <w:b w:val="false"/>
                  <w:color w:val="0000FF"/>
                  <w:sz w:val="20"/>
                  <w:u w:val="single"/>
                </w:rPr>
                <w:t>32</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94">
              <w:r>
                <w:rPr>
                  <w:rStyle w:val="InternetLink"/>
                  <w:rFonts w:ascii="Times New Roman;serif" w:hAnsi="Times New Roman;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94">
              <w:r>
                <w:rPr>
                  <w:rStyle w:val="InternetLink"/>
                  <w:rFonts w:ascii="Times New Roman;serif" w:hAnsi="Times New Roman;serif"/>
                  <w:b w:val="false"/>
                  <w:color w:val="0000FF"/>
                  <w:sz w:val="20"/>
                  <w:u w:val="single"/>
                </w:rPr>
                <w:t>32</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97">
              <w:r>
                <w:rPr>
                  <w:rStyle w:val="InternetLink"/>
                  <w:rFonts w:ascii="Times New Roman;serif" w:hAnsi="Times New Roman;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97">
              <w:r>
                <w:rPr>
                  <w:rStyle w:val="InternetLink"/>
                  <w:rFonts w:ascii="Times New Roman;serif" w:hAnsi="Times New Roman;serif"/>
                  <w:b w:val="false"/>
                  <w:color w:val="0000FF"/>
                  <w:sz w:val="20"/>
                  <w:u w:val="single"/>
                </w:rPr>
                <w:t>34</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100">
              <w:r>
                <w:rPr>
                  <w:rStyle w:val="InternetLink"/>
                  <w:rFonts w:ascii="Times New Roman;serif" w:hAnsi="Times New Roman;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100">
              <w:r>
                <w:rPr>
                  <w:rStyle w:val="InternetLink"/>
                  <w:rFonts w:ascii="Times New Roman;serif" w:hAnsi="Times New Roman;serif"/>
                  <w:b w:val="false"/>
                  <w:color w:val="0000FF"/>
                  <w:sz w:val="20"/>
                  <w:u w:val="single"/>
                </w:rPr>
                <w:t>34</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103">
              <w:r>
                <w:rPr>
                  <w:rStyle w:val="InternetLink"/>
                  <w:rFonts w:ascii="Times New Roman;serif" w:hAnsi="Times New Roman;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103">
              <w:r>
                <w:rPr>
                  <w:rStyle w:val="InternetLink"/>
                  <w:rFonts w:ascii="Times New Roman;serif" w:hAnsi="Times New Roman;serif"/>
                  <w:b w:val="false"/>
                  <w:color w:val="0000FF"/>
                  <w:sz w:val="20"/>
                  <w:u w:val="single"/>
                </w:rPr>
                <w:t>34</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106">
              <w:r>
                <w:rPr>
                  <w:rStyle w:val="InternetLink"/>
                  <w:rFonts w:ascii="Times New Roman;serif" w:hAnsi="Times New Roman;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106">
              <w:r>
                <w:rPr>
                  <w:rStyle w:val="InternetLink"/>
                  <w:rFonts w:ascii="Times New Roman;serif" w:hAnsi="Times New Roman;serif"/>
                  <w:b w:val="false"/>
                  <w:color w:val="0000FF"/>
                  <w:sz w:val="20"/>
                  <w:u w:val="single"/>
                </w:rPr>
                <w:t>34</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c2f791a6d8425fa2dd8baea0441343_109">
              <w:r>
                <w:rPr>
                  <w:rStyle w:val="InternetLink"/>
                  <w:rFonts w:ascii="Times New Roman;serif" w:hAnsi="Times New Roman;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c2f791a6d8425fa2dd8baea0441343_109">
              <w:r>
                <w:rPr>
                  <w:rStyle w:val="InternetLink"/>
                  <w:rFonts w:ascii="Times New Roman;serif" w:hAnsi="Times New Roman;serif"/>
                  <w:b w:val="false"/>
                  <w:color w:val="0000FF"/>
                  <w:sz w:val="20"/>
                  <w:u w:val="singl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UNAUDITED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589" w:type="dxa"/>
        <w:jc w:val="left"/>
        <w:tblInd w:w="0" w:type="dxa"/>
        <w:tblLayout w:type="fixed"/>
        <w:tblCellMar>
          <w:top w:w="28" w:type="dxa"/>
          <w:left w:w="28" w:type="dxa"/>
          <w:bottom w:w="28" w:type="dxa"/>
          <w:right w:w="28" w:type="dxa"/>
        </w:tblCellMar>
      </w:tblPr>
      <w:tblGrid>
        <w:gridCol w:w="932"/>
        <w:gridCol w:w="820"/>
        <w:gridCol w:w="827"/>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data)</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4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37,623 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754" w:type="dxa"/>
        <w:jc w:val="center"/>
        <w:tblInd w:w="0" w:type="dxa"/>
        <w:tblLayout w:type="fixed"/>
        <w:tblCellMar>
          <w:top w:w="28" w:type="dxa"/>
          <w:left w:w="28" w:type="dxa"/>
          <w:bottom w:w="28" w:type="dxa"/>
          <w:right w:w="28" w:type="dxa"/>
        </w:tblCellMar>
      </w:tblPr>
      <w:tblGrid>
        <w:gridCol w:w="1056"/>
        <w:gridCol w:w="929"/>
        <w:gridCol w:w="93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45"/>
        <w:gridCol w:w="2277"/>
        <w:gridCol w:w="2298"/>
        <w:gridCol w:w="208"/>
        <w:gridCol w:w="782"/>
        <w:gridCol w:w="115"/>
        <w:gridCol w:w="109"/>
        <w:gridCol w:w="109"/>
        <w:gridCol w:w="109"/>
        <w:gridCol w:w="279"/>
        <w:gridCol w:w="1051"/>
        <w:gridCol w:w="223"/>
      </w:tblGrid>
      <w:tr>
        <w:trPr/>
        <w:tc>
          <w:tcPr>
            <w:tcW w:w="2645"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r>
      <w:tr>
        <w:trPr/>
        <w:tc>
          <w:tcPr>
            <w:tcW w:w="7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data)</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145,262 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130,699 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improvements,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366,584 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350,688 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392,872 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964,351 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922,646 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0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128,691 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107,810 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159,152 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279,198 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286,569 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Commitments and Contingencies (See </w:t>
            </w:r>
            <w:hyperlink w:anchor="i00c2f791a6d8425fa2dd8baea0441343_67">
              <w:r>
                <w:rPr>
                  <w:rStyle w:val="InternetLink"/>
                  <w:rFonts w:ascii="Times New Roman;serif" w:hAnsi="Times New Roman;serif"/>
                  <w:b w:val="false"/>
                  <w:color w:val="0000FF"/>
                  <w:sz w:val="18"/>
                  <w:u w:val="single"/>
                </w:rPr>
                <w:t>Note 12</w:t>
              </w:r>
            </w:hyperlink>
            <w:r>
              <w:rPr>
                <w:rFonts w:ascii="Times New Roman;serif" w:hAnsi="Times New Roman;serif"/>
                <w:b w:val="false"/>
                <w:color w:val="000000"/>
                <w:sz w:val="18"/>
              </w:rPr>
              <w:t>)</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$.01 par value; 2,000,000 shares authorized; none issued and outstanding</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 par value; 60,000,000 shares authorized; 44,523,864 and 43,641,997 shares issued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437,391 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288,154 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6,583,245 and 6,471,074 shares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685,153 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636,077 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964,351 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922,646 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53" w:type="dxa"/>
        <w:jc w:val="left"/>
        <w:tblInd w:w="0" w:type="dxa"/>
        <w:tblLayout w:type="fixed"/>
        <w:tblCellMar>
          <w:top w:w="28" w:type="dxa"/>
          <w:left w:w="28" w:type="dxa"/>
          <w:bottom w:w="28" w:type="dxa"/>
          <w:right w:w="28" w:type="dxa"/>
        </w:tblCellMar>
      </w:tblPr>
      <w:tblGrid>
        <w:gridCol w:w="2455"/>
        <w:gridCol w:w="2158"/>
        <w:gridCol w:w="2166"/>
        <w:gridCol w:w="196"/>
        <w:gridCol w:w="646"/>
        <w:gridCol w:w="109"/>
        <w:gridCol w:w="109"/>
        <w:gridCol w:w="109"/>
        <w:gridCol w:w="109"/>
        <w:gridCol w:w="196"/>
        <w:gridCol w:w="646"/>
        <w:gridCol w:w="154"/>
      </w:tblGrid>
      <w:tr>
        <w:trPr/>
        <w:tc>
          <w:tcPr>
            <w:tcW w:w="245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w:t>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equipment 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equipment, improvements and certain other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equipment, improvements and certain other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 plan transactions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 transactions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for net share settlement of share-based payment options and awards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(85,291)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inventory to property, equipment 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for purchase of property, equipment, improvements and certain other intangible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407" w:type="dxa"/>
        <w:jc w:val="center"/>
        <w:tblInd w:w="0" w:type="dxa"/>
        <w:tblLayout w:type="fixed"/>
        <w:tblCellMar>
          <w:top w:w="28" w:type="dxa"/>
          <w:left w:w="28" w:type="dxa"/>
          <w:bottom w:w="28" w:type="dxa"/>
          <w:right w:w="28" w:type="dxa"/>
        </w:tblCellMar>
      </w:tblPr>
      <w:tblGrid>
        <w:gridCol w:w="654"/>
        <w:gridCol w:w="258"/>
        <w:gridCol w:w="259"/>
        <w:gridCol w:w="109"/>
        <w:gridCol w:w="109"/>
        <w:gridCol w:w="109"/>
        <w:gridCol w:w="323"/>
        <w:gridCol w:w="323"/>
        <w:gridCol w:w="186"/>
        <w:gridCol w:w="109"/>
        <w:gridCol w:w="109"/>
        <w:gridCol w:w="109"/>
        <w:gridCol w:w="196"/>
        <w:gridCol w:w="421"/>
        <w:gridCol w:w="109"/>
        <w:gridCol w:w="109"/>
        <w:gridCol w:w="109"/>
        <w:gridCol w:w="109"/>
        <w:gridCol w:w="278"/>
        <w:gridCol w:w="278"/>
        <w:gridCol w:w="186"/>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227"/>
        <w:gridCol w:w="831"/>
        <w:gridCol w:w="128"/>
        <w:gridCol w:w="109"/>
        <w:gridCol w:w="109"/>
        <w:gridCol w:w="109"/>
        <w:gridCol w:w="196"/>
        <w:gridCol w:w="736"/>
        <w:gridCol w:w="154"/>
      </w:tblGrid>
      <w:tr>
        <w:trPr/>
        <w:tc>
          <w:tcPr>
            <w:tcW w:w="6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Stockholders'</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43,562 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(24,909)</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for net share settlement of share-based payment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6,488 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(23,482)</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621,507 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on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for net share settlement of share-based payment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stock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43,601 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6,488 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(23,482)</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621,507 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for net share settlement of share-based payment options and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44,524 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6,583 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454,936 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(24,606)</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685,153 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(23,794)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for net share settlement of share-based payment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stock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44,524 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6,583 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(24,606)</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685,153 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accompanying notes are an integral part of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BASIS OF PRESENTATION OF UNAUDITED INTERIM CONDENSED CONSOLIDATED FINANCIAL STATEMENTS AND SIGNIFICANT ACCOUNTING POLICIES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200" w:after="283"/>
        <w:jc w:val="left"/>
        <w:rPr/>
      </w:pPr>
      <w:r>
        <w:rPr>
          <w:rFonts w:ascii="Times New Roman;serif" w:hAnsi="Times New Roman;serif"/>
          <w:b w:val="false"/>
          <w:color w:val="000000"/>
          <w:sz w:val="20"/>
        </w:rPr>
        <w:t xml:space="preserve">The unaudited condensed consolidated financial statements of Digi International Inc. ("we," "us," "our," "Digi" or "the Company") have been prepared in accordance with the rules and regulations of the U.S.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Part I, Item 1 of 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September 30, 2025. We use the same accounting policies in preparing quarterly and annual financial statements. The quarterly results of operations are not necessarily indicative of the results to be expected for the full year.</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Financial Accounting Standards Board ("FASB") issued Accounting Standards Update ("ASU") 2024-03, Income Statement - Reporting Comprehensive Income - Expense Disaggregation Disclosures (Subtopic 220-40), “Disaggregation of Income Statement Expenses,” which requires improved disclosures about a company’s expenses and more detailed information about the types of expenses in commonly presented expense captions. This amendment is effective for our fiscal year ending September 30, 2028 and interim periods within our fiscal year ending September 30, 2029. We currently are assessing the impact of this guidance on our disclosures.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FASB issued ASU 2023-09, Income Taxes (Topic 740), “Improvements to Income Tax Disclosures,” which requires enhanced transparency and decision usefulness of income tax disclosures. This amendment is effective for our fiscal year ending September 30, 2026 and interim periods within our fiscal year ending September 30, 2027. We currently are assessing the impact of this guidance on our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ACQUISITIONS</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 of Jolt Software, Inc. ("Jolt")</w:t>
      </w:r>
    </w:p>
    <w:p>
      <w:pPr>
        <w:pStyle w:val="TextBody"/>
        <w:bidi w:val="0"/>
        <w:spacing w:lineRule="auto" w:line="268" w:before="200" w:after="283"/>
        <w:jc w:val="left"/>
        <w:rPr/>
      </w:pPr>
      <w:r>
        <w:rPr>
          <w:rFonts w:ascii="Times New Roman;serif" w:hAnsi="Times New Roman;serif"/>
          <w:b w:val="false"/>
          <w:color w:val="000000"/>
          <w:sz w:val="20"/>
        </w:rPr>
        <w:t xml:space="preserve">On August 18, 2025, we acquired Jolt for an estimated $148.5 million in cash. In the first quarter of fiscal 2026, we made net working capital adjustments due to an underage in the net working capital assumed in the transaction. This resulted in a decrease in consideration of $1.1 million and a reduction to goodwill of $0.9 million. In the second quarter of fiscal 2026, we made additional purchase accounting adjustments, primarily related to a $5.0 million reserve for potential product replacement (See </w:t>
      </w:r>
      <w:hyperlink w:anchor="i00c2f791a6d8425fa2dd8baea0441343_61">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and a corresponding $1.3 million deferred tax asset, resulting in an increase of $3.7 million in the fair value of net tangible liabilities acquired and an increase of $3.7 million in goodwill. In the third quarter of fiscal 2026, we made additional purchase accounting adjustments for the revaluation of deferred taxes. As a result, we increased the long-term deferred tax liability balance by $0.6 million and increased goodwill by $0.6 million. These adjustments resulted in a final consideration of $147.5 million and goodwill of $53.6 million as of June 30, 2026. During the third quarter, the Company completed its valuation of the assets acquired and liabilities assumed in connection with Jolt and finalized the purchase price allocation. The purchase price allocation disclosed herein is final and no further measurement period adjustments are expected.</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 of Particle Industries, Inc. ("Particle")</w:t>
      </w:r>
    </w:p>
    <w:p>
      <w:pPr>
        <w:pStyle w:val="TextBody"/>
        <w:bidi w:val="0"/>
        <w:spacing w:lineRule="auto" w:line="268" w:before="200" w:after="283"/>
        <w:jc w:val="left"/>
        <w:rPr/>
      </w:pPr>
      <w:r>
        <w:rPr>
          <w:rFonts w:ascii="Times New Roman;serif" w:hAnsi="Times New Roman;serif"/>
          <w:b w:val="false"/>
          <w:color w:val="000000"/>
          <w:sz w:val="20"/>
        </w:rPr>
        <w:t xml:space="preserve">On January 27, 2026, we acquired Particle for approximately $50.4 million in cash. The acquisition was funded through a combination of cash on hand and a draw of $34.0 million from our existing senior secured credit facility committed by BMO Harris Bank N.A (See </w:t>
      </w:r>
      <w:hyperlink w:anchor="i00c2f791a6d8425fa2dd8baea0441343_49">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tax purposes, this acquisition is treated as a stock acquisition. We believe this is a complementary acquisition for us as it significantly enhances our IoT Products &amp; Services segment.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Costs directly related to the acquisition of $1.8 million incurred in fiscal 2026 were charged to operations and are included in general and administrative expense in our condensed consolidated statements of operations. These acquisition costs include legal, accounting, valuation and investment banking fees.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values of Particle assets acquired and liabilities assumed as of the acquisition date (in thousands): </w:t>
      </w:r>
    </w:p>
    <w:tbl>
      <w:tblPr>
        <w:tblW w:w="5867" w:type="dxa"/>
        <w:jc w:val="left"/>
        <w:tblInd w:w="0" w:type="dxa"/>
        <w:tblLayout w:type="fixed"/>
        <w:tblCellMar>
          <w:top w:w="28" w:type="dxa"/>
          <w:left w:w="28" w:type="dxa"/>
          <w:bottom w:w="28" w:type="dxa"/>
          <w:right w:w="28" w:type="dxa"/>
        </w:tblCellMar>
      </w:tblPr>
      <w:tblGrid>
        <w:gridCol w:w="1609"/>
        <w:gridCol w:w="1413"/>
        <w:gridCol w:w="1432"/>
        <w:gridCol w:w="109"/>
        <w:gridCol w:w="109"/>
        <w:gridCol w:w="109"/>
        <w:gridCol w:w="211"/>
        <w:gridCol w:w="721"/>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net tangible liabilities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and core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on identifiable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*Includes $0.9 million in cash assumed in acquisition.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June 30, 2026 reflected a preliminary allocation of the purchase price to the assets acquired and liabilities assumed based on their estimated fair values at the date of acquisition. Purchase price allocations may be subject to future adjustments for the net assets, including intangible assets, acquired working capital balances and income tax assets and liabilities within the one-year measurement period.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customer relationships was calculated using the multi-period excess earnings method, while purchased and core technology and trademarks were valued using the relief from royalty method. These methodologies utilize forecasts of future revenues and earnings before income taxes, depreciation and amortization, attrition rates, tax rates, discount rates, royalty rates and obsolescence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goodwill of $15.9 million arising from the acquisition consists largely of the synergies and economies of scale expected from combining the operations of Particle and Digi. The goodwill from this transaction is all included in the IoT Products &amp; Services segment.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useful life for all the identifiable intangibles listed above is estimated to be 12 years. For purposes of determining fair value, the existing customer relationships identified above are assumed to have a useful life of 15 years, purchased and core technology is assumed to have a useful life of 9 years, trademarks are assumed to have a useful life of 12 years and noncompete agreements are assumed to have a useful life of 3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assets are expected to be consumed.</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Particle's contribution to revenue and operating income for the three and nine months ended June 30, 2026 was not material. In addition, Digi’s net revenue and operating income for the three and nine months ended June 30, 2026 and 2025 would not have been materially different from reported results had the acquisition occurred on October 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numerators and denominators in the net income per common share calculations (in thousands, except per common share data):</w:t>
      </w:r>
    </w:p>
    <w:tbl>
      <w:tblPr>
        <w:tblW w:w="10205" w:type="dxa"/>
        <w:jc w:val="left"/>
        <w:tblInd w:w="0" w:type="dxa"/>
        <w:tblLayout w:type="fixed"/>
        <w:tblCellMar>
          <w:top w:w="28" w:type="dxa"/>
          <w:left w:w="28" w:type="dxa"/>
          <w:bottom w:w="28" w:type="dxa"/>
          <w:right w:w="28" w:type="dxa"/>
        </w:tblCellMar>
      </w:tblPr>
      <w:tblGrid>
        <w:gridCol w:w="1795"/>
        <w:gridCol w:w="1582"/>
        <w:gridCol w:w="1599"/>
        <w:gridCol w:w="213"/>
        <w:gridCol w:w="732"/>
        <w:gridCol w:w="110"/>
        <w:gridCol w:w="110"/>
        <w:gridCol w:w="110"/>
        <w:gridCol w:w="110"/>
        <w:gridCol w:w="213"/>
        <w:gridCol w:w="732"/>
        <w:gridCol w:w="110"/>
        <w:gridCol w:w="109"/>
        <w:gridCol w:w="109"/>
        <w:gridCol w:w="109"/>
        <w:gridCol w:w="211"/>
        <w:gridCol w:w="721"/>
        <w:gridCol w:w="109"/>
        <w:gridCol w:w="109"/>
        <w:gridCol w:w="109"/>
        <w:gridCol w:w="109"/>
        <w:gridCol w:w="211"/>
        <w:gridCol w:w="721"/>
        <w:gridCol w:w="162"/>
      </w:tblGrid>
      <w:tr>
        <w:trPr/>
        <w:tc>
          <w:tcPr>
            <w:tcW w:w="1795"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97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net income per common share — weighted average shares outstanding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net income per common share — adjusted weighted average shares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97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97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basic</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97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97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diluted</w:t>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Digi excludes certain stock options and restricted stock unit awards that would have an anti-dilutive effect on our diluted net income per share calculation. For the three months ended June 30, 2026 and 2025, 8,608 and 337,179 shares outstanding were excluded, respectively. For the nine months ended June 30, 2026 and 2025, 43,981 and 206,008 shares outstanding were excluded,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SELECTED BALANCE SHEET DATA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selected balance sheet data (in thousands):</w:t>
      </w:r>
    </w:p>
    <w:tbl>
      <w:tblPr>
        <w:tblW w:w="7668" w:type="dxa"/>
        <w:jc w:val="left"/>
        <w:tblInd w:w="0" w:type="dxa"/>
        <w:tblLayout w:type="fixed"/>
        <w:tblCellMar>
          <w:top w:w="28" w:type="dxa"/>
          <w:left w:w="28" w:type="dxa"/>
          <w:bottom w:w="28" w:type="dxa"/>
          <w:right w:w="28" w:type="dxa"/>
        </w:tblCellMar>
      </w:tblPr>
      <w:tblGrid>
        <w:gridCol w:w="1808"/>
        <w:gridCol w:w="1590"/>
        <w:gridCol w:w="1597"/>
        <w:gridCol w:w="211"/>
        <w:gridCol w:w="721"/>
        <w:gridCol w:w="109"/>
        <w:gridCol w:w="109"/>
        <w:gridCol w:w="109"/>
        <w:gridCol w:w="109"/>
        <w:gridCol w:w="253"/>
        <w:gridCol w:w="867"/>
        <w:gridCol w:w="185"/>
      </w:tblGrid>
      <w:tr>
        <w:trPr/>
        <w:tc>
          <w:tcPr>
            <w:tcW w:w="180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reserve for future credit returns and pricing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63,453 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38,911 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5. GOODWILL AND OTHER INTANGIBLE ASSETS,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 were (in thousands):</w:t>
      </w:r>
    </w:p>
    <w:tbl>
      <w:tblPr>
        <w:tblW w:w="10205" w:type="dxa"/>
        <w:jc w:val="left"/>
        <w:tblInd w:w="0" w:type="dxa"/>
        <w:tblLayout w:type="fixed"/>
        <w:tblCellMar>
          <w:top w:w="28" w:type="dxa"/>
          <w:left w:w="28" w:type="dxa"/>
          <w:bottom w:w="28" w:type="dxa"/>
          <w:right w:w="28" w:type="dxa"/>
        </w:tblCellMar>
      </w:tblPr>
      <w:tblGrid>
        <w:gridCol w:w="653"/>
        <w:gridCol w:w="465"/>
        <w:gridCol w:w="468"/>
        <w:gridCol w:w="211"/>
        <w:gridCol w:w="826"/>
        <w:gridCol w:w="109"/>
        <w:gridCol w:w="109"/>
        <w:gridCol w:w="109"/>
        <w:gridCol w:w="109"/>
        <w:gridCol w:w="211"/>
        <w:gridCol w:w="856"/>
        <w:gridCol w:w="109"/>
        <w:gridCol w:w="109"/>
        <w:gridCol w:w="109"/>
        <w:gridCol w:w="109"/>
        <w:gridCol w:w="211"/>
        <w:gridCol w:w="826"/>
        <w:gridCol w:w="109"/>
        <w:gridCol w:w="109"/>
        <w:gridCol w:w="109"/>
        <w:gridCol w:w="109"/>
        <w:gridCol w:w="211"/>
        <w:gridCol w:w="826"/>
        <w:gridCol w:w="109"/>
        <w:gridCol w:w="109"/>
        <w:gridCol w:w="109"/>
        <w:gridCol w:w="109"/>
        <w:gridCol w:w="211"/>
        <w:gridCol w:w="856"/>
        <w:gridCol w:w="109"/>
        <w:gridCol w:w="109"/>
        <w:gridCol w:w="109"/>
        <w:gridCol w:w="109"/>
        <w:gridCol w:w="211"/>
        <w:gridCol w:w="826"/>
        <w:gridCol w:w="157"/>
      </w:tblGrid>
      <w:tr>
        <w:trPr/>
        <w:tc>
          <w:tcPr>
            <w:tcW w:w="65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and core technology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$8.2 million and $5.2 million for the three months ended June 30, 2026 and 2025, respectively. Amortization expense for intangible assets was $23.2 million and $16.2 million for the nine months ended June 30, 2026 and 2025, respectively. Amortization expense is recorded on our condensed consolidated statements of operations within cost of sales and in general and administrative expense.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 related to intangible assets for the remainder of fiscal 2026 and the five succeeding fiscal years is (in thousands):</w:t>
      </w:r>
    </w:p>
    <w:tbl>
      <w:tblPr>
        <w:tblW w:w="2735" w:type="dxa"/>
        <w:jc w:val="left"/>
        <w:tblInd w:w="0" w:type="dxa"/>
        <w:tblLayout w:type="fixed"/>
        <w:tblCellMar>
          <w:top w:w="28" w:type="dxa"/>
          <w:left w:w="28" w:type="dxa"/>
          <w:bottom w:w="28" w:type="dxa"/>
          <w:right w:w="28" w:type="dxa"/>
        </w:tblCellMar>
      </w:tblPr>
      <w:tblGrid>
        <w:gridCol w:w="635"/>
        <w:gridCol w:w="557"/>
        <w:gridCol w:w="562"/>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(three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reportable segments are (in thousands):</w:t>
      </w:r>
    </w:p>
    <w:tbl>
      <w:tblPr>
        <w:tblW w:w="8075" w:type="dxa"/>
        <w:jc w:val="left"/>
        <w:tblInd w:w="0" w:type="dxa"/>
        <w:tblLayout w:type="fixed"/>
        <w:tblCellMar>
          <w:top w:w="28" w:type="dxa"/>
          <w:left w:w="28" w:type="dxa"/>
          <w:bottom w:w="28" w:type="dxa"/>
          <w:right w:w="28" w:type="dxa"/>
        </w:tblCellMar>
      </w:tblPr>
      <w:tblGrid>
        <w:gridCol w:w="1215"/>
        <w:gridCol w:w="1070"/>
        <w:gridCol w:w="1074"/>
        <w:gridCol w:w="317"/>
        <w:gridCol w:w="1244"/>
        <w:gridCol w:w="164"/>
        <w:gridCol w:w="109"/>
        <w:gridCol w:w="109"/>
        <w:gridCol w:w="109"/>
        <w:gridCol w:w="211"/>
        <w:gridCol w:w="826"/>
        <w:gridCol w:w="109"/>
        <w:gridCol w:w="109"/>
        <w:gridCol w:w="109"/>
        <w:gridCol w:w="109"/>
        <w:gridCol w:w="211"/>
        <w:gridCol w:w="82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 2026</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IoT</w:t>
              <w:br/>
              <w:t>Products &amp;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IoT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on September 30, 2025</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175,266 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Acquisitions (see </w:t>
            </w:r>
            <w:hyperlink w:anchor="i00c2f791a6d8425fa2dd8baea0441343_37">
              <w:r>
                <w:rPr>
                  <w:rStyle w:val="InternetLink"/>
                  <w:rFonts w:ascii="Times New Roman;serif" w:hAnsi="Times New Roman;serif"/>
                  <w:b w:val="false"/>
                  <w:color w:val="0000FF"/>
                  <w:sz w:val="20"/>
                  <w:u w:val="single"/>
                </w:rPr>
                <w:t>Note 2</w:t>
              </w:r>
            </w:hyperlink>
            <w:r>
              <w:rPr>
                <w:rFonts w:ascii="Times New Roman;serif" w:hAnsi="Times New Roman;serif"/>
                <w:b w:val="false"/>
                <w:color w:val="000000"/>
                <w:sz w:val="20"/>
              </w:rPr>
              <w: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on June 30, 2026</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190,843 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20"/>
        </w:rPr>
        <w:t xml:space="preserve">Goodwill represents the excess of cost over the fair value of net identifiable assets acquired. Goodwill is tested quantitatively for impairment on an annual basis as of June 30, or more frequently if events or circumstances occur which could indicate impairment. We have two reportable segments that are also reporting units, IoT Products &amp; Services and IoT Solutions (see </w:t>
      </w:r>
      <w:hyperlink w:anchor="i00c2f791a6d8425fa2dd8baea0441343_52">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Each of these reporting units was tested individually for impairment during our annual impairment test completed as of the end of the third fiscal quarter of fiscal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Results of our Fiscal 2026 Annual Impairment Test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 total of $190.8 million of goodwill for the IoT Products &amp; Services reporting unit and $220.8 million of goodwill for the IoT Solutions reporting unit. At June 30, 2026, the fair value of goodwill exceeded the carrying value for each reporting unit and no impairment was recorded.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 INDEBTEDNESS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December 23, 2025, Digi entered into a First Amendment to Revolving Credit Agreement (the “Amendment”) with BMO Bank N.A. (“BMO”), as administrative and collateral agent, certain subsidiaries of Digi as guarantors (“Guarantors”) and the several banks and other financial institutions or entities party thereto as lenders (the “Lenders”). This amended our Revolving Credit Agreement, dated as of December 7, 2023 (as amended by the Amendment, the “Credit Agreement”) among Digi, BMO, the Guarantors party thereto and the Lenders from time to time party thereto.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Digi with a senior secured credit facility (the “Credit Facility”). The Credit Facility includes a $250 million senior secured revolving credit facility (the “Revolving Loan”), with an uncommitted accordion feature that provides for additional borrowing capacity of up to the greater of $105 million or one hundred percent of trailing twelve month adjusted earnings before interest, taxes, depreciation, and amortization ("EBITDA"). The Credit Facility also contains a $10 million letter of credit sublimit and $10 million swingline sub-facility. Digi may use the proceeds of the Credit Facility in the future for general corporate purposes.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Facility bear interest at a rate per annum equal to Term Secured Overnight Financing Rate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Credit Facility is in a range of 1.35% to 3.10% for Term SOFR loans and 0.35% to 2.10% for base rate loans, depending on Digi’s total net leverage ratio. Borrowings for October 2025 through February 2026 were made at Term SOFR for a one-month interest election period. Borrowings were made on a six-month interest election period after February 2026. Our weighted average Revolving Loan applicable margin was 1.35% as of June 30, 2026. Our weighted average interest rate for our Credit Facility was 4.95% as of June 30,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paying interest on the outstanding principal, Digi is required to pay a commitment fee on the unutilized commitments under the Credit Facility. The commitment fee is between 0.20% and 0.35% depending on Digi’s total net leverage ratio. Our weighted average Revolving Loan commitment fee was 0.20% as of June 30, 2026. The Credit Facility is secured by substantially all of the property of Digi and its domestic subsidiaries.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fiscal 2024, Digi incurred $1.3 million in debt issuance costs upon entry into the Credit Agreement, with this amount amortized over the term of the Credit Agreement and reported in interest expense. In the first quarter of fiscal 2026, Digi incurred an additional $0.3 million in debt issuance costs upon entry into the Credit Agreement, with this amount amortized over the remaining term of the Credit Agreement and reported in interest expense.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Revolving Loan is due in a lump sum payment at maturity December 7, 2028, if any amounts are drawn. The fair value of the Revolving Loan approximated carrying value at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our long-term indebtedness at June 30, 2026 and September 30, 2025 (in thousands):</w:t>
      </w:r>
    </w:p>
    <w:tbl>
      <w:tblPr>
        <w:tblW w:w="10194" w:type="dxa"/>
        <w:jc w:val="center"/>
        <w:tblInd w:w="0" w:type="dxa"/>
        <w:tblLayout w:type="fixed"/>
        <w:tblCellMar>
          <w:top w:w="28" w:type="dxa"/>
          <w:left w:w="28" w:type="dxa"/>
          <w:bottom w:w="28" w:type="dxa"/>
          <w:right w:w="28" w:type="dxa"/>
        </w:tblCellMar>
      </w:tblPr>
      <w:tblGrid>
        <w:gridCol w:w="1669"/>
        <w:gridCol w:w="1463"/>
        <w:gridCol w:w="1473"/>
        <w:gridCol w:w="109"/>
        <w:gridCol w:w="109"/>
        <w:gridCol w:w="109"/>
        <w:gridCol w:w="406"/>
        <w:gridCol w:w="1590"/>
        <w:gridCol w:w="209"/>
        <w:gridCol w:w="109"/>
        <w:gridCol w:w="109"/>
        <w:gridCol w:w="109"/>
        <w:gridCol w:w="483"/>
        <w:gridCol w:w="1894"/>
        <w:gridCol w:w="353"/>
      </w:tblGrid>
      <w:tr>
        <w:trPr/>
        <w:tc>
          <w:tcPr>
            <w:tcW w:w="166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on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on September 30, 2025</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109,000 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108,130 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159,152 </w:t>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 INDEBTEDNESS (CONTINUED)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Covenants and Security Interest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requires Digi to maintain a minimum interest coverage ratio of 3.00 to 1.00 and a total net leverage ratio not to exceed 3.00 to 1.00, with certain exceptions for a covenant holiday of up to 3.50 to 1.00 after certain material acquisitions. The total net leverage ratio is defined as the ratio of Digi’s consolidated total funded indebtedness minus unrestricted cash as of such date up to a maximum amount not to exceed $50 million, to consolidated EBITDA for such period. The Credit Agreement also contains other customary affirmative and negative covenants, including covenants that restrict the ability of Digi and its subsidiaries to incur additional indebtedness, dispose of significant assets, make certain investments, (including, among other items) any acquisitions other than permitted acquisitions, make certain restricted payments, enter into sale and leaseback transactions or grant additional liens on its assets, subject to certain limitations. Amounts borrowed under the Credit Facility are secured by substantially all of our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7. SEGMENT INFORMATION</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two reportable segments that also serve as our operating segments: (i) IoT Products &amp; Services and (ii) IoT Solutions. This determination was made by considering both qualitative and quantitative information. The qualitative information included, but was not limited to, the following: each segment is led by a single segment manager that reports to the Chief Operating Decision Maker (CODM), the nature of the products and services and customers differ between the two segments, discrete financial information is available including revenue and operating income for both segments and the CODM is reviewing both segments’ financial information separately to make decisions about the allocation of resources. IoT Products &amp; Services derives revenue from the sale of products and services that help original equipment manufacturers ("OEMs"), enterprise and government customers create and deploy, secure IoT connectivity solutions. IoT Solutions derives revenue from the sale of software-based services that are enabled through the use of connected devices that utilize cellular communications. Our CEO is our CODM. In the fourth quarter of fiscal 2025, the metric he uses to measure profitability within each of our reportable segments was changed from segment gross profit to operating income.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Summary operating results for each of our segments were (in thousands):</w:t>
      </w:r>
    </w:p>
    <w:tbl>
      <w:tblPr>
        <w:tblW w:w="8982" w:type="dxa"/>
        <w:jc w:val="center"/>
        <w:tblInd w:w="0" w:type="dxa"/>
        <w:tblLayout w:type="fixed"/>
        <w:tblCellMar>
          <w:top w:w="28" w:type="dxa"/>
          <w:left w:w="28" w:type="dxa"/>
          <w:bottom w:w="28" w:type="dxa"/>
          <w:right w:w="28" w:type="dxa"/>
        </w:tblCellMar>
      </w:tblPr>
      <w:tblGrid>
        <w:gridCol w:w="1100"/>
        <w:gridCol w:w="968"/>
        <w:gridCol w:w="97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0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for both IoT Products &amp; Services and IoT Solutions include cost of sales and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7. SEGMENT INFORMATION (CONTINUED)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segment operating income to consolidated income before taxes:</w:t>
      </w:r>
    </w:p>
    <w:tbl>
      <w:tblPr>
        <w:tblW w:w="7999" w:type="dxa"/>
        <w:jc w:val="left"/>
        <w:tblInd w:w="0" w:type="dxa"/>
        <w:tblLayout w:type="fixed"/>
        <w:tblCellMar>
          <w:top w:w="28" w:type="dxa"/>
          <w:left w:w="28" w:type="dxa"/>
          <w:bottom w:w="28" w:type="dxa"/>
          <w:right w:w="28" w:type="dxa"/>
        </w:tblCellMar>
      </w:tblPr>
      <w:tblGrid>
        <w:gridCol w:w="993"/>
        <w:gridCol w:w="874"/>
        <w:gridCol w:w="877"/>
        <w:gridCol w:w="216"/>
        <w:gridCol w:w="741"/>
        <w:gridCol w:w="112"/>
        <w:gridCol w:w="112"/>
        <w:gridCol w:w="112"/>
        <w:gridCol w:w="112"/>
        <w:gridCol w:w="216"/>
        <w:gridCol w:w="741"/>
        <w:gridCol w:w="112"/>
        <w:gridCol w:w="109"/>
        <w:gridCol w:w="109"/>
        <w:gridCol w:w="109"/>
        <w:gridCol w:w="211"/>
        <w:gridCol w:w="721"/>
        <w:gridCol w:w="109"/>
        <w:gridCol w:w="109"/>
        <w:gridCol w:w="109"/>
        <w:gridCol w:w="109"/>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 primarily includes interest expense, net in the three and nine months ended June 30, 2026 and 2025, respectively.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Total expended for property, plant and equipment was (in thousands):</w:t>
      </w:r>
    </w:p>
    <w:tbl>
      <w:tblPr>
        <w:tblW w:w="6935" w:type="dxa"/>
        <w:jc w:val="center"/>
        <w:tblInd w:w="0" w:type="dxa"/>
        <w:tblLayout w:type="fixed"/>
        <w:tblCellMar>
          <w:top w:w="28" w:type="dxa"/>
          <w:left w:w="28" w:type="dxa"/>
          <w:bottom w:w="28" w:type="dxa"/>
          <w:right w:w="28" w:type="dxa"/>
        </w:tblCellMar>
      </w:tblPr>
      <w:tblGrid>
        <w:gridCol w:w="1511"/>
        <w:gridCol w:w="1325"/>
        <w:gridCol w:w="1333"/>
        <w:gridCol w:w="109"/>
        <w:gridCol w:w="109"/>
        <w:gridCol w:w="109"/>
        <w:gridCol w:w="229"/>
        <w:gridCol w:w="671"/>
        <w:gridCol w:w="118"/>
        <w:gridCol w:w="118"/>
        <w:gridCol w:w="118"/>
        <w:gridCol w:w="118"/>
        <w:gridCol w:w="229"/>
        <w:gridCol w:w="671"/>
        <w:gridCol w:w="167"/>
      </w:tblGrid>
      <w:tr>
        <w:trPr/>
        <w:tc>
          <w:tcPr>
            <w:tcW w:w="15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expended for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Excluded from these amounts are $5,916 and $6,859 of transfers of inventory to property plant and equipment for subscriber assets for the nine months ended June 30, 2026 and 2025, respectively.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Total assets for each of our segments were (in thousands):</w:t>
      </w:r>
    </w:p>
    <w:tbl>
      <w:tblPr>
        <w:tblW w:w="5174" w:type="dxa"/>
        <w:jc w:val="center"/>
        <w:tblInd w:w="0" w:type="dxa"/>
        <w:tblLayout w:type="fixed"/>
        <w:tblCellMar>
          <w:top w:w="28" w:type="dxa"/>
          <w:left w:w="28" w:type="dxa"/>
          <w:bottom w:w="28" w:type="dxa"/>
          <w:right w:w="28" w:type="dxa"/>
        </w:tblCellMar>
      </w:tblPr>
      <w:tblGrid>
        <w:gridCol w:w="750"/>
        <w:gridCol w:w="658"/>
        <w:gridCol w:w="662"/>
        <w:gridCol w:w="109"/>
        <w:gridCol w:w="109"/>
        <w:gridCol w:w="109"/>
        <w:gridCol w:w="211"/>
        <w:gridCol w:w="826"/>
        <w:gridCol w:w="109"/>
        <w:gridCol w:w="109"/>
        <w:gridCol w:w="109"/>
        <w:gridCol w:w="109"/>
        <w:gridCol w:w="231"/>
        <w:gridCol w:w="905"/>
        <w:gridCol w:w="16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338,454 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900,744 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922,646 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*Unallocated consists of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8. REVENUE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 Disaggregation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by geographic location of our customers (in thousands):</w:t>
      </w:r>
    </w:p>
    <w:tbl>
      <w:tblPr>
        <w:tblW w:w="9179" w:type="dxa"/>
        <w:jc w:val="left"/>
        <w:tblInd w:w="0" w:type="dxa"/>
        <w:tblLayout w:type="fixed"/>
        <w:tblCellMar>
          <w:top w:w="28" w:type="dxa"/>
          <w:left w:w="28" w:type="dxa"/>
          <w:bottom w:w="28" w:type="dxa"/>
          <w:right w:w="28" w:type="dxa"/>
        </w:tblCellMar>
      </w:tblPr>
      <w:tblGrid>
        <w:gridCol w:w="1290"/>
        <w:gridCol w:w="1137"/>
        <w:gridCol w:w="114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primarily the 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by the timing of revenue recognition (in thousands):</w:t>
      </w:r>
    </w:p>
    <w:tbl>
      <w:tblPr>
        <w:tblW w:w="8069" w:type="dxa"/>
        <w:jc w:val="left"/>
        <w:tblInd w:w="0" w:type="dxa"/>
        <w:tblLayout w:type="fixed"/>
        <w:tblCellMar>
          <w:top w:w="28" w:type="dxa"/>
          <w:left w:w="28" w:type="dxa"/>
          <w:bottom w:w="28" w:type="dxa"/>
          <w:right w:w="28" w:type="dxa"/>
        </w:tblCellMar>
      </w:tblPr>
      <w:tblGrid>
        <w:gridCol w:w="890"/>
        <w:gridCol w:w="783"/>
        <w:gridCol w:w="78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8. REVENUE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had no customers that represented over 10% of consolidated revenue in the three months ended June 30, 2026. We had one customer, a distributor of Digi's IoT Products &amp; Services segment, that represented 11% of consolidated revenue in the nine months ended June 30, 2026.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Contract Related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$21.5 million and $22.9 million as of June 30, 2026 and September 30, 2025, respectively, are included in property, equipment and improvements, net. Depreciation expense for these subscriber assets, which is included in cost of sales, was $2.5 million and $2.3 million for the three months ended June 30, 2026 and 2025, respectively. Depreciation expense for these subscriber assets was $7.3 million and $6.3 million for the nine months ended June 30, 2026 and 2025, respectively.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 of unearned revenue related to annual or multi-year contracts for subscription services and related implementation fees, as well as product sales that have been invoiced, but not yet fulfilled. The timing of revenue recognition may differ from the timing of invoicing to customers. Customers are invoiced for subscription services on a monthly, quarterly or annual basis.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contract liabilities were $73.0 million and $40.0 million at June 30, 2026 and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contract liability balances of $48.2 million and $36.8 million as of September 30, 2025 and 2024, respectively. Of these balances, Digi recognized $36.8 million and $22.5 million as revenue in the nine months ended June 30, 2026 and 2025,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Remaining Performance Obligation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had approximately $240.1 million of remaining performance obligations on contracts with an original duration of one year or more. We expect to recognize revenue on approximately $121.3 million of remaining performance obligations over the next 12 months. We expect to recognize revenue from the remaining performance obligations over a range of two to five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 INCOME TAXES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Our income tax expense was $11.3 million for the nine months ended June 30, 2026. Included in this was a net tax benefit of $1.0 million discretely related to the nine months ended June 30, 2026.</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will vary based on a variety of factors. These factors include our overall profitability, the geographical mix of income before taxes and related statutory tax rate in each jurisdiction, and tax items discretely related to the period, such as tax impacts of stock compensation. We may record other benefits or expenses in the future that are specific to a particular quarter such as expiration of statutes of limitation, the completion of tax audits, or legislation that is enacted in both U.S. and foreign jurisdictions.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was signed into law in the U.S., which contains a broad range of tax reform provisions affecting businesses such as the permanent extension of certain expiring provisions of the Tax Cuts and Job Act, restoration of favorable tax treatment for certain businesses provisions including the expensing of domestic research and development expenditures, and modifications to the international tax framework. The legislation has multiple effective dates, with certain provisions effective in fiscal year 2026 and others implemented through fiscal year 2027. We have incorporated the impact of the new legislation into the year-to-date effective tax rate and continue to assess the impact on the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beginning and ending amount of unrecognized tax benefits is (in thousands): </w:t>
      </w:r>
    </w:p>
    <w:tbl>
      <w:tblPr>
        <w:tblW w:w="5315" w:type="dxa"/>
        <w:jc w:val="left"/>
        <w:tblInd w:w="0" w:type="dxa"/>
        <w:tblLayout w:type="fixed"/>
        <w:tblCellMar>
          <w:top w:w="28" w:type="dxa"/>
          <w:left w:w="28" w:type="dxa"/>
          <w:bottom w:w="28" w:type="dxa"/>
          <w:right w:w="28" w:type="dxa"/>
        </w:tblCellMar>
      </w:tblPr>
      <w:tblGrid>
        <w:gridCol w:w="1569"/>
        <w:gridCol w:w="1379"/>
        <w:gridCol w:w="1386"/>
        <w:gridCol w:w="211"/>
        <w:gridCol w:w="616"/>
        <w:gridCol w:w="154"/>
      </w:tblGrid>
      <w:tr>
        <w:trPr/>
        <w:tc>
          <w:tcPr>
            <w:tcW w:w="15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income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of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total amount of unrecognized tax benefits at June 30, 2026 that, if recognized, would affect our effective tax rate was $4.0 million, after considering the impact of interest and deferred benefit items. We expect that the total amount of unrecognized tax benefits will decrease by approximately $0.6 million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10. PRODUCT WARRANTY OBLIGATION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activity associated with the product warranty accrual (in thousands) and is included on our condensed consolidated balance sheets within other current liabilities and other noncurrent liabilities:</w:t>
      </w:r>
    </w:p>
    <w:tbl>
      <w:tblPr>
        <w:tblW w:w="5158" w:type="dxa"/>
        <w:jc w:val="left"/>
        <w:tblInd w:w="0" w:type="dxa"/>
        <w:tblLayout w:type="fixed"/>
        <w:tblCellMar>
          <w:top w:w="28" w:type="dxa"/>
          <w:left w:w="28" w:type="dxa"/>
          <w:bottom w:w="28" w:type="dxa"/>
          <w:right w:w="28" w:type="dxa"/>
        </w:tblCellMar>
      </w:tblPr>
      <w:tblGrid>
        <w:gridCol w:w="956"/>
        <w:gridCol w:w="840"/>
        <w:gridCol w:w="843"/>
        <w:gridCol w:w="237"/>
        <w:gridCol w:w="692"/>
        <w:gridCol w:w="122"/>
        <w:gridCol w:w="122"/>
        <w:gridCol w:w="122"/>
        <w:gridCol w:w="122"/>
        <w:gridCol w:w="237"/>
        <w:gridCol w:w="692"/>
        <w:gridCol w:w="173"/>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accrued*</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settlements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accrued*</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made</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erif" w:hAnsi="Times New Roman;serif"/>
          <w:b w:val="false"/>
          <w:color w:val="000000"/>
          <w:sz w:val="20"/>
        </w:rPr>
        <w:t xml:space="preserve">*Warranties accrued in the three and nine months ended June 30, 2026 include $2.0 million and $3.0 million of current and noncurrent liabilities, respectively, relating to a purchase accounting adjustment for our Jolt acquisition (See </w:t>
      </w:r>
      <w:hyperlink w:anchor="i00c2f791a6d8425fa2dd8baea0441343_37">
        <w:r>
          <w:rPr>
            <w:rStyle w:val="InternetLink"/>
            <w:rFonts w:ascii="Times New Roman;serif" w:hAnsi="Times New Roman;serif"/>
            <w:b w:val="false"/>
            <w:color w:val="0000FF"/>
            <w:sz w:val="20"/>
            <w:u w:val="single"/>
          </w:rPr>
          <w:t>Note 2</w:t>
        </w:r>
      </w:hyperlink>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 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All of our leases are operating leases and primarily consist of leases for office space. For any lease with an initial term in excess of 12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12 months or less are not recorded on the condensed consolidated balance sheets. Instead we recognize lease expense for these leases on a straight-line basis over the lease term.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 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supplemental balance sheet information related to our leases (in thousands):</w:t>
      </w:r>
    </w:p>
    <w:tbl>
      <w:tblPr>
        <w:tblW w:w="9499" w:type="dxa"/>
        <w:jc w:val="center"/>
        <w:tblInd w:w="0" w:type="dxa"/>
        <w:tblLayout w:type="fixed"/>
        <w:tblCellMar>
          <w:top w:w="28" w:type="dxa"/>
          <w:left w:w="28" w:type="dxa"/>
          <w:bottom w:w="28" w:type="dxa"/>
          <w:right w:w="28" w:type="dxa"/>
        </w:tblCellMar>
      </w:tblPr>
      <w:tblGrid>
        <w:gridCol w:w="661"/>
        <w:gridCol w:w="581"/>
        <w:gridCol w:w="587"/>
        <w:gridCol w:w="109"/>
        <w:gridCol w:w="109"/>
        <w:gridCol w:w="109"/>
        <w:gridCol w:w="1224"/>
        <w:gridCol w:w="1224"/>
        <w:gridCol w:w="1227"/>
        <w:gridCol w:w="109"/>
        <w:gridCol w:w="109"/>
        <w:gridCol w:w="109"/>
        <w:gridCol w:w="252"/>
        <w:gridCol w:w="862"/>
        <w:gridCol w:w="130"/>
        <w:gridCol w:w="109"/>
        <w:gridCol w:w="109"/>
        <w:gridCol w:w="109"/>
        <w:gridCol w:w="344"/>
        <w:gridCol w:w="1175"/>
        <w:gridCol w:w="251"/>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12,032 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The following were the components of our lease cost which is recorded in both cost of goods sold and selling, general and administrative expense (in thousands):</w:t>
      </w:r>
    </w:p>
    <w:tbl>
      <w:tblPr>
        <w:tblW w:w="7035" w:type="dxa"/>
        <w:jc w:val="center"/>
        <w:tblInd w:w="0" w:type="dxa"/>
        <w:tblLayout w:type="fixed"/>
        <w:tblCellMar>
          <w:top w:w="28" w:type="dxa"/>
          <w:left w:w="28" w:type="dxa"/>
          <w:bottom w:w="28" w:type="dxa"/>
          <w:right w:w="28" w:type="dxa"/>
        </w:tblCellMar>
      </w:tblPr>
      <w:tblGrid>
        <w:gridCol w:w="651"/>
        <w:gridCol w:w="572"/>
        <w:gridCol w:w="576"/>
        <w:gridCol w:w="237"/>
        <w:gridCol w:w="693"/>
        <w:gridCol w:w="122"/>
        <w:gridCol w:w="122"/>
        <w:gridCol w:w="122"/>
        <w:gridCol w:w="122"/>
        <w:gridCol w:w="237"/>
        <w:gridCol w:w="693"/>
        <w:gridCol w:w="122"/>
        <w:gridCol w:w="109"/>
        <w:gridCol w:w="109"/>
        <w:gridCol w:w="109"/>
        <w:gridCol w:w="229"/>
        <w:gridCol w:w="671"/>
        <w:gridCol w:w="118"/>
        <w:gridCol w:w="118"/>
        <w:gridCol w:w="118"/>
        <w:gridCol w:w="118"/>
        <w:gridCol w:w="229"/>
        <w:gridCol w:w="671"/>
        <w:gridCol w:w="167"/>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weighted average remaining lease term of our operating leases was 4.9 years and the weighted average discount rate for these leases was 4.6%.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11. LEASES (CONTINUED)</w:t>
      </w:r>
    </w:p>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undiscounted cash flows for each of the first five years as well as all the remaining years to the operating lease liabilities recorded on the condensed consolidated balance sheet as of June 30, 2026 (in thousands):</w:t>
      </w:r>
    </w:p>
    <w:tbl>
      <w:tblPr>
        <w:tblW w:w="4922" w:type="dxa"/>
        <w:jc w:val="center"/>
        <w:tblInd w:w="0" w:type="dxa"/>
        <w:tblLayout w:type="fixed"/>
        <w:tblCellMar>
          <w:top w:w="28" w:type="dxa"/>
          <w:left w:w="28" w:type="dxa"/>
          <w:bottom w:w="28" w:type="dxa"/>
          <w:right w:w="28" w:type="dxa"/>
        </w:tblCellMar>
      </w:tblPr>
      <w:tblGrid>
        <w:gridCol w:w="1267"/>
        <w:gridCol w:w="1114"/>
        <w:gridCol w:w="1128"/>
        <w:gridCol w:w="109"/>
        <w:gridCol w:w="109"/>
        <w:gridCol w:w="109"/>
        <w:gridCol w:w="211"/>
        <w:gridCol w:w="7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reported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12. COMMITMENTS AND CONTINGENCIES</w:t>
      </w:r>
    </w:p>
    <w:p>
      <w:pPr>
        <w:pStyle w:val="TextBody"/>
        <w:bidi w:val="0"/>
        <w:spacing w:lineRule="auto" w:line="288" w:before="200" w:after="283"/>
        <w:jc w:val="left"/>
        <w:rPr/>
      </w:pPr>
      <w:r>
        <w:rPr>
          <w:rFonts w:ascii="Times New Roman;serif" w:hAnsi="Times New Roman;serif"/>
          <w:b w:val="false"/>
          <w:color w:val="000000"/>
          <w:sz w:val="20"/>
        </w:rPr>
        <w:t xml:space="preserve">We lease certain of our buildings and equipment under non-cancelable lease agreements. Please refer to </w:t>
      </w:r>
      <w:hyperlink w:anchor="i00c2f791a6d8425fa2dd8baea0441343_64">
        <w:r>
          <w:rPr>
            <w:rStyle w:val="InternetLink"/>
            <w:rFonts w:ascii="Times New Roman;serif" w:hAnsi="Times New Roman;serif"/>
            <w:b w:val="false"/>
            <w:color w:val="0000FF"/>
            <w:sz w:val="20"/>
            <w:u w:val="single"/>
          </w:rPr>
          <w:t>Note 11</w:t>
        </w:r>
      </w:hyperlink>
      <w:r>
        <w:rPr>
          <w:color w:val="000000"/>
        </w:rPr>
        <w:t xml:space="preserve"> </w:t>
      </w:r>
      <w:r>
        <w:rPr>
          <w:rFonts w:ascii="Times New Roman;serif" w:hAnsi="Times New Roman;serif"/>
          <w:b w:val="false"/>
          <w:color w:val="000000"/>
          <w:sz w:val="20"/>
        </w:rPr>
        <w:t>to our condensed consolidated financial statements for additional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presently are,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13. STOCK-BASED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 granted in the nine months ended June 30, 2026 and 2025 were granted under the Digi International Inc. 2021 Omnibus Incentive Plan (as amended and restated, the "2021 Plan").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approximately 2,667,883 shares available for future grants under the 2021 Plan.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the exercise of stock options was $6.8 million and $3.1 million for the nine months ended June 30, 2026 and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nine months ended June 30, 2026 and 2025, our employees forfeited 174,110 shares and 109,516 shares, respectively, in order to satisfy withholding tax obligations of $11.3 million and $3.5 million, respectively. 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that may be purchased under the ESPP to 3,425,000. ESPP contributions by employees were $2.3 million and $1.7 million for the nine months ended June 30, 2026 and 2025. Pursuant to the ESPP, 61,939 and 70,976 common shares were issued to employees during the nine months ended June 30, 2026 and 2025, respectively. Shares are issued under the ESPP from treasury stock. As of June 30, 2026, 214,764 common shares were available for future issuances under the ESPP.</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13. STOCK-BASED COMPENSATION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stock-based compensation expense that is included in the consolidated results of operations (in thousands):</w:t>
      </w:r>
    </w:p>
    <w:tbl>
      <w:tblPr>
        <w:tblW w:w="9198" w:type="dxa"/>
        <w:jc w:val="left"/>
        <w:tblInd w:w="0" w:type="dxa"/>
        <w:tblLayout w:type="fixed"/>
        <w:tblCellMar>
          <w:top w:w="28" w:type="dxa"/>
          <w:left w:w="28" w:type="dxa"/>
          <w:bottom w:w="28" w:type="dxa"/>
          <w:right w:w="28" w:type="dxa"/>
        </w:tblCellMar>
      </w:tblPr>
      <w:tblGrid>
        <w:gridCol w:w="1435"/>
        <w:gridCol w:w="1255"/>
        <w:gridCol w:w="1270"/>
        <w:gridCol w:w="237"/>
        <w:gridCol w:w="693"/>
        <w:gridCol w:w="122"/>
        <w:gridCol w:w="122"/>
        <w:gridCol w:w="122"/>
        <w:gridCol w:w="122"/>
        <w:gridCol w:w="237"/>
        <w:gridCol w:w="693"/>
        <w:gridCol w:w="122"/>
        <w:gridCol w:w="109"/>
        <w:gridCol w:w="109"/>
        <w:gridCol w:w="109"/>
        <w:gridCol w:w="219"/>
        <w:gridCol w:w="750"/>
        <w:gridCol w:w="113"/>
        <w:gridCol w:w="113"/>
        <w:gridCol w:w="113"/>
        <w:gridCol w:w="113"/>
        <w:gridCol w:w="219"/>
        <w:gridCol w:w="641"/>
        <w:gridCol w:w="160"/>
      </w:tblGrid>
      <w:tr>
        <w:trPr/>
        <w:tc>
          <w:tcPr>
            <w:tcW w:w="143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before income taxes</w:t>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after income taxes</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option activity (in thousands, except per common share amounts):</w:t>
      </w:r>
    </w:p>
    <w:tbl>
      <w:tblPr>
        <w:tblW w:w="10205" w:type="dxa"/>
        <w:jc w:val="left"/>
        <w:tblInd w:w="0" w:type="dxa"/>
        <w:tblLayout w:type="fixed"/>
        <w:tblCellMar>
          <w:top w:w="28" w:type="dxa"/>
          <w:left w:w="28" w:type="dxa"/>
          <w:bottom w:w="28" w:type="dxa"/>
          <w:right w:w="28" w:type="dxa"/>
        </w:tblCellMar>
      </w:tblPr>
      <w:tblGrid>
        <w:gridCol w:w="677"/>
        <w:gridCol w:w="552"/>
        <w:gridCol w:w="554"/>
        <w:gridCol w:w="109"/>
        <w:gridCol w:w="109"/>
        <w:gridCol w:w="109"/>
        <w:gridCol w:w="470"/>
        <w:gridCol w:w="470"/>
        <w:gridCol w:w="472"/>
        <w:gridCol w:w="109"/>
        <w:gridCol w:w="109"/>
        <w:gridCol w:w="109"/>
        <w:gridCol w:w="578"/>
        <w:gridCol w:w="578"/>
        <w:gridCol w:w="580"/>
        <w:gridCol w:w="109"/>
        <w:gridCol w:w="109"/>
        <w:gridCol w:w="109"/>
        <w:gridCol w:w="767"/>
        <w:gridCol w:w="767"/>
        <w:gridCol w:w="769"/>
        <w:gridCol w:w="109"/>
        <w:gridCol w:w="109"/>
        <w:gridCol w:w="109"/>
        <w:gridCol w:w="355"/>
        <w:gridCol w:w="1039"/>
        <w:gridCol w:w="269"/>
      </w:tblGrid>
      <w:tr>
        <w:trPr/>
        <w:tc>
          <w:tcPr>
            <w:tcW w:w="67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Intrinsic Value (1)</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on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on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on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2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The aggregate intrinsic value represents the total pre-tax intrinsic value, based on our closing stock price of $74.95 as of June 30, 2026, which would have been received by the option holders had all option holders exercised their options as of that date.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intrinsic value of an option is the amount by which the fair value of the underlying stock exceeds its exercise price. The total intrinsic value of all options exercised during the nine months ended June 30, 2026 and 2025 was $16.2 million and $9.6 million,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weighted average fair value, which was determined based upon the fair value of each option on the grant date utilizing the Black-Scholes option-pricing model and the related assumptions:</w:t>
      </w:r>
    </w:p>
    <w:tbl>
      <w:tblPr>
        <w:tblW w:w="7571" w:type="dxa"/>
        <w:jc w:val="center"/>
        <w:tblInd w:w="0" w:type="dxa"/>
        <w:tblLayout w:type="fixed"/>
        <w:tblCellMar>
          <w:top w:w="28" w:type="dxa"/>
          <w:left w:w="28" w:type="dxa"/>
          <w:bottom w:w="28" w:type="dxa"/>
          <w:right w:w="28" w:type="dxa"/>
        </w:tblCellMar>
      </w:tblPr>
      <w:tblGrid>
        <w:gridCol w:w="1500"/>
        <w:gridCol w:w="1315"/>
        <w:gridCol w:w="1324"/>
        <w:gridCol w:w="435"/>
        <w:gridCol w:w="435"/>
        <w:gridCol w:w="435"/>
        <w:gridCol w:w="259"/>
        <w:gridCol w:w="259"/>
        <w:gridCol w:w="259"/>
        <w:gridCol w:w="395"/>
        <w:gridCol w:w="395"/>
        <w:gridCol w:w="560"/>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per option grant date fair value</w:t>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$16.23</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Assumptions used for option grants: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3.62% - 4.16%</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4.31% - 4.38%</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 years</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 years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 - 49%</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13. STOCK-BASED COMPENSATION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compensation cost related to non-vested stock options was $1.9 million and the related weighted average period over which it is expected to be recognized is approximately 2.0 years.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Non-vested Stock Units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non-vested restricted stock units and performance stock units as of June 30, 2026 and changes during the nine months then ended (in thousands, except per common share amounts):</w:t>
      </w:r>
    </w:p>
    <w:tbl>
      <w:tblPr>
        <w:tblW w:w="10205" w:type="dxa"/>
        <w:jc w:val="center"/>
        <w:tblInd w:w="0" w:type="dxa"/>
        <w:tblLayout w:type="fixed"/>
        <w:tblCellMar>
          <w:top w:w="28" w:type="dxa"/>
          <w:left w:w="28" w:type="dxa"/>
          <w:bottom w:w="28" w:type="dxa"/>
          <w:right w:w="28" w:type="dxa"/>
        </w:tblCellMar>
      </w:tblPr>
      <w:tblGrid>
        <w:gridCol w:w="744"/>
        <w:gridCol w:w="653"/>
        <w:gridCol w:w="657"/>
        <w:gridCol w:w="459"/>
        <w:gridCol w:w="407"/>
        <w:gridCol w:w="408"/>
        <w:gridCol w:w="109"/>
        <w:gridCol w:w="109"/>
        <w:gridCol w:w="109"/>
        <w:gridCol w:w="521"/>
        <w:gridCol w:w="1522"/>
        <w:gridCol w:w="269"/>
        <w:gridCol w:w="109"/>
        <w:gridCol w:w="109"/>
        <w:gridCol w:w="109"/>
        <w:gridCol w:w="407"/>
        <w:gridCol w:w="407"/>
        <w:gridCol w:w="408"/>
        <w:gridCol w:w="109"/>
        <w:gridCol w:w="109"/>
        <w:gridCol w:w="109"/>
        <w:gridCol w:w="506"/>
        <w:gridCol w:w="1480"/>
        <w:gridCol w:w="376"/>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PSUs</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on September 30, 2025</w:t>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on June 30, 2026</w:t>
            </w:r>
          </w:p>
        </w:tc>
        <w:tc>
          <w:tcPr>
            <w:tcW w:w="8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unrecognized compensation cost related to non-vested restricted stock units and performance stock units was $28.8 million and $1.6 million, respectively. The related weighted average period over which these costs are expected to be recognized was approximately 2.1 years and 0.3 years,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left"/>
        <w:rPr/>
      </w:pPr>
      <w:r>
        <w:rPr>
          <w:rFonts w:ascii="Times New Roman;serif" w:hAnsi="Times New Roman;serif"/>
          <w:b w:val="false"/>
          <w:color w:val="000000"/>
          <w:sz w:val="20"/>
        </w:rPr>
        <w:t xml:space="preserve">Our management's discussion and analysis should be read in conjunction with our Annual Report on </w:t>
      </w:r>
      <w:hyperlink r:id="rId4">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September 30, 2025, as well as our subsequent reports on Form 10-Q and Form 8-K and any amendments to such reports.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SAFE HARBOR STATEMENT UNDER THE PRIVATE SECURITIES LITIGATION REFORM ACT OF 1995</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76" w:before="0" w:after="0"/>
        <w:jc w:val="left"/>
        <w:rPr/>
      </w:pPr>
      <w:r>
        <w:rPr>
          <w:rFonts w:ascii="Times New Roman;serif" w:hAnsi="Times New Roman;serif"/>
          <w:b w:val="false"/>
          <w:color w:val="000000"/>
          <w:sz w:val="20"/>
        </w:rPr>
        <w:t>This report contains "forward-looking statements" as that term is defined under the Private Securities Litigation Reform Act of 1995, and within the meaning of Section 27A of the Securities Act of 1933, as amended, and Section 21E of the Securities Exchange Act of 1934, as amended, that are based on management’s current expectations and assumptions. These statements often can be identified by the use of forward-looking terminology such as "assume," "believe," "continue," "estimate," "expect," "intend," "may," "remain," "plan," "potential," "project," "should," or "will" or the negative thereof or other variations thereon or similar terminology.</w:t>
      </w:r>
      <w:r>
        <w:rPr>
          <w:color w:val="000000"/>
        </w:rPr>
        <w:t xml:space="preserve"> </w:t>
      </w:r>
      <w:r>
        <w:rPr>
          <w:rFonts w:ascii="Times New Roman;serif" w:hAnsi="Times New Roman;serif"/>
          <w:b w:val="false"/>
          <w:color w:val="000000"/>
          <w:sz w:val="20"/>
        </w:rPr>
        <w:t>Among other items, these statements relate to expectations of the business environment in which Digi operates, projections of future performance, including but not limited to expectations regarding the Company’s profitability and net cash position, inventory levels, perceived marketplace opportunities, debt repayments, attributions of actual or potential acquisitions and statements regarding our mission and vision. Such statements are not guarantees of future performance and involve certain risks, uncertainties and assumptions. Among others, these include risks related to our ability to realize synergies and operating benefits from completed acquisitions (like our recent acquisitions of Jolt completed in August 2025, and Particle completed in January 2026), ongoing and varying inflationary and deflationary pressures around the world and the monetary, fiscal and trade policies of governments globally as well as present and ongoing concerns about a potential economic slowdown, the potential for longer than expected sales cycles, the ability of companies like us to operate a global business in such conditions as well as negative effects on product demand and the financial solvency of customers and suppliers in such conditions, risks related to ongoing supply chain challenges, regulatory risks that include, but are not limited to, the potential expansion of tariffs and potential changes to regulations impacting the functionality or compliance of our products, risks related to cybersecurity, data breaches and data privacy, risks arising from military conflicts such as those in Ukraine, the Middle East,and geopolitical tensions including those involving China and Taiwan, the highly competitive market in which we operate,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pStyle w:val="TextBody"/>
        <w:bidi w:val="0"/>
        <w:spacing w:lineRule="auto" w:line="288" w:before="160" w:after="283"/>
        <w:jc w:val="left"/>
        <w:rPr/>
      </w:pPr>
      <w:r>
        <w:rPr>
          <w:rFonts w:ascii="Times New Roman;serif" w:hAnsi="Times New Roman;serif"/>
          <w:b w:val="false"/>
          <w:color w:val="000000"/>
          <w:sz w:val="20"/>
        </w:rPr>
        <w:t xml:space="preserve">These and other risks, uncertainties and assumptions identified from time to time in our filings with the United States Securities and Exchange Commission, including without limitation, those set forth in Item 1A, Risk Factors, of our Annual Report on </w:t>
      </w:r>
      <w:hyperlink r:id="rId5">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September 30, 2025, and any other subsequent filings, including, but not limited to, this filing,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Except to the extent required by law, we do not undertake, and expressly disclaim, any intent or obligation to update any forward-looking statements, whether as a result of new information, future events or otherwise.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CRITICAL ACCOUNTING ESTIMATES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judgments about the carrying values of assets and liabilities that are not readily apparent from other sources. Actual results may differ from these estimates.</w:t>
      </w:r>
    </w:p>
    <w:p>
      <w:pPr>
        <w:pStyle w:val="TextBody"/>
        <w:bidi w:val="0"/>
        <w:spacing w:lineRule="auto" w:line="288" w:before="160" w:after="283"/>
        <w:jc w:val="left"/>
        <w:rPr/>
      </w:pPr>
      <w:r>
        <w:rPr>
          <w:rFonts w:ascii="Times New Roman;serif" w:hAnsi="Times New Roman;serif"/>
          <w:b w:val="false"/>
          <w:color w:val="000000"/>
          <w:sz w:val="20"/>
        </w:rPr>
        <w:t xml:space="preserve">A description of our critical accounting estimates was provided in the Management's Discussion and Analysis of Financial Condition and Results of Operations section of our </w:t>
      </w:r>
      <w:hyperlink r:id="rId6">
        <w:r>
          <w:rPr>
            <w:rStyle w:val="InternetLink"/>
            <w:rFonts w:ascii="Times New Roman;serif" w:hAnsi="Times New Roman;serif"/>
            <w:b w:val="false"/>
            <w:color w:val="0000FF"/>
            <w:sz w:val="20"/>
            <w:u w:val="single"/>
          </w:rPr>
          <w:t>Annual Report</w:t>
        </w:r>
      </w:hyperlink>
      <w:r>
        <w:rPr>
          <w:color w:val="000000"/>
        </w:rPr>
        <w:t xml:space="preserve"> </w:t>
      </w:r>
      <w:r>
        <w:rPr>
          <w:rFonts w:ascii="Times New Roman;serif" w:hAnsi="Times New Roman;serif"/>
          <w:b w:val="false"/>
          <w:color w:val="000000"/>
          <w:sz w:val="20"/>
        </w:rPr>
        <w:t xml:space="preserve">on </w:t>
      </w:r>
      <w:hyperlink r:id="rId7">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a leading global provider of business and mission-critical IoT connectivity products, services and solutions. Our business is comprised of two reporting segments: IoT Products &amp; Services and IoT Solutions.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fiscal 2026, our key operating objectives are to continue driving growth in Annualized Recurring Revenue ("ARR"), Adjusted Net Income, Adjusted EBITDA and cash flow generation.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utilize many financial, operational, and other metrics to evaluate our financial condition and financial performance. Below we highlight the metrics for the third quarter of fiscal 2026 that we feel are most important in these evaluations, with comparisons to the third quarter of fiscal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Revenue was $139 million, an increase of 29%. </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Gross profit margin was 64.8%, an increase of 130 basis points.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Operating margin was 16.5%, an increase of 260 basis points.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 xml:space="preserve">Net income was $16 million, an increase of 54%. </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Net income per diluted share was $0.40, an increase of 48%.</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Adjusted net income was $29 million, an increase of 50%.</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shd w:fill="FFFFFF" w:val="clear"/>
        </w:rPr>
        <w:t>•</w:t>
      </w:r>
      <w:r>
        <w:rPr>
          <w:rFonts w:ascii="Times New Roman;serif" w:hAnsi="Times New Roman;serif"/>
          <w:b w:val="false"/>
          <w:color w:val="000000"/>
          <w:sz w:val="20"/>
        </w:rPr>
        <w:t>Adjusted net income per diluted share was $0.75, an increase of 47%.</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shd w:fill="FFFFFF" w:val="clear"/>
        </w:rPr>
        <w:t>•</w:t>
      </w:r>
      <w:r>
        <w:rPr>
          <w:rFonts w:ascii="Times New Roman;serif" w:hAnsi="Times New Roman;serif"/>
          <w:b w:val="false"/>
          <w:color w:val="000000"/>
          <w:sz w:val="20"/>
        </w:rPr>
        <w:t>Adjusted EBITDA was $40 million, an increase of 47%.</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Annualized Recurring Revenue ("ARR") was $191 million at quarter end, an increase of 52%.</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(1) Fiscal 2026 results include the results of Jolt Software, Inc. ("Jolt") for the full quarter and nine-month period and Particle Industries, Inc. ("Particle") following the January 2026 acquisition date. Fiscal 2025 results include Jolt for the period following the August acquisition date and do not include Particle.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Reconciliations of non-GAAP financial measures to their closest GAAP analogs appear in this document, as well as a discussion of recent changes to the method of calculating adjusted net income and adjusted net income per share.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Key trends regarding our existing business</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the following trends will continue to impact our business in fiscal 2026 and beyond:</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We believe the market for Industrial IoT products and services is in the midst of a long-term expansion across a broad range of industries and solutions.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As recurring revenue from subscription and cloud monitoring services becomes a greater portion of our overall revenue, delivering at higher operating margins rates than one-time revenue, we expect operating margin rates to expand.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Technology infrastructure necessary to support the deployment of artificial intelligence and other innovations has seen a significant increase in spending on datacenters and other related infrastructure and we have been and expect to be a beneficiary of this ongoing trend. </w:t>
      </w:r>
    </w:p>
    <w:p>
      <w:pPr>
        <w:pStyle w:val="TextBody"/>
        <w:bidi w:val="0"/>
        <w:spacing w:lineRule="auto" w:line="288" w:before="100" w:after="283"/>
        <w:jc w:val="left"/>
        <w:rPr/>
      </w:pPr>
      <w:r>
        <w:rPr>
          <w:rFonts w:ascii="Times New Roman;serif" w:hAnsi="Times New Roman;serif"/>
          <w:b w:val="false"/>
          <w:color w:val="000000"/>
          <w:sz w:val="20"/>
        </w:rPr>
        <w:t>In addition to the above trends, there are a number of macro circumstances globally that we continue to monitor for potential impacts on our business.</w:t>
      </w:r>
      <w:r>
        <w:rPr>
          <w:color w:val="000000"/>
        </w:rPr>
        <w:t xml:space="preserve"> </w:t>
      </w:r>
      <w:r>
        <w:rPr>
          <w:rFonts w:ascii="Times New Roman;serif" w:hAnsi="Times New Roman;serif"/>
          <w:b w:val="false"/>
          <w:color w:val="000000"/>
          <w:sz w:val="20"/>
        </w:rPr>
        <w:t>These include evolving international trade policies, global economic conditions, military conflicts and political tensions that may have the potential to disrupt our business or those of our vendors or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Both tariffs imposed by various governments globally as well as extremely high demand for certain components associated with technology capital spending on AI and other global business initiatives have the potential to disrupt existing supply chains and impose additional costs on our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Monetary and fiscal policies continue to fluctuate globally in response to inflationary and deflationary pressures. These situations could all lead to potential adverse impacts on a wide range of businesses and could affect the businesses of our vendors and customers in ways that could harm our business. Due to the war in Ukraine, sanctions remain imposed on trade with Russia and Belarus which has the potential to disrupt the supply of raw materials needed to make components. Political tensions between China and other nations have intensified, which could lead to similar issues. Additionally, the military conflict with Iran that began in late February has created volatility in both the price of oil and other commodities as well as shipping that has impacted our transportation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information derived from our interim condensed consolidated statements of operations:</w:t>
      </w:r>
    </w:p>
    <w:tbl>
      <w:tblPr>
        <w:tblW w:w="9023" w:type="dxa"/>
        <w:jc w:val="left"/>
        <w:tblInd w:w="0" w:type="dxa"/>
        <w:tblLayout w:type="fixed"/>
        <w:tblCellMar>
          <w:top w:w="28" w:type="dxa"/>
          <w:left w:w="28" w:type="dxa"/>
          <w:bottom w:w="28" w:type="dxa"/>
          <w:right w:w="28" w:type="dxa"/>
        </w:tblCellMar>
      </w:tblPr>
      <w:tblGrid>
        <w:gridCol w:w="862"/>
        <w:gridCol w:w="759"/>
        <w:gridCol w:w="763"/>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271"/>
        <w:gridCol w:w="109"/>
        <w:gridCol w:w="109"/>
        <w:gridCol w:w="109"/>
        <w:gridCol w:w="255"/>
        <w:gridCol w:w="256"/>
        <w:gridCol w:w="427"/>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incr.</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w:t>
            </w:r>
          </w:p>
        </w:tc>
      </w:tr>
      <w:tr>
        <w:trPr/>
        <w:tc>
          <w:tcPr>
            <w:tcW w:w="23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incr.</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w:t>
            </w:r>
          </w:p>
        </w:tc>
      </w:tr>
      <w:tr>
        <w:trPr/>
        <w:tc>
          <w:tcPr>
            <w:tcW w:w="23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NM means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 BY SEGMENT</w:t>
      </w:r>
    </w:p>
    <w:tbl>
      <w:tblPr>
        <w:tblW w:w="8708" w:type="dxa"/>
        <w:jc w:val="left"/>
        <w:tblInd w:w="0" w:type="dxa"/>
        <w:tblLayout w:type="fixed"/>
        <w:tblCellMar>
          <w:top w:w="28" w:type="dxa"/>
          <w:left w:w="28" w:type="dxa"/>
          <w:bottom w:w="28" w:type="dxa"/>
          <w:right w:w="28" w:type="dxa"/>
        </w:tblCellMar>
      </w:tblPr>
      <w:tblGrid>
        <w:gridCol w:w="748"/>
        <w:gridCol w:w="658"/>
        <w:gridCol w:w="663"/>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55"/>
        <w:gridCol w:w="256"/>
        <w:gridCol w:w="427"/>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incr.</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w:t>
            </w:r>
          </w:p>
        </w:tc>
      </w:tr>
      <w:tr>
        <w:trPr/>
        <w:tc>
          <w:tcPr>
            <w:tcW w:w="20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incr.</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w:t>
            </w:r>
          </w:p>
        </w:tc>
      </w:tr>
      <w:tr>
        <w:trPr/>
        <w:tc>
          <w:tcPr>
            <w:tcW w:w="20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IoT Products &amp; Services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Products &amp; Services revenue increased $19.8 million for the three months ended June 30, 2026, as compared to the same period in the prior fiscal year. This consisted of a $12.4 million increase in one-time sales and $7.4 million of recurring revenue growth, with no material impact from pricing. A significant majority of the increase in revenue was driven by organic growth from increased customer demand and supported by the Particle acquisition.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Products &amp; Services revenue increased $44.1 million for the nine months ended June 30, 2026, as compared to the same period in the prior fiscal year. This consisted of a $29.0 million increase in one-time sales and $15.1 million of recurring revenue growth, with no material impact from pricing. A significant majority of the increase in revenue was driven by organic growth from increased customer demand and supported by the Particle acquisition.</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IoT Solutions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Solutions revenue increased $11.4 million for the three months ended June 30, 2026, as compared to the same period in the prior fiscal year. The increase consisted of an $8.9 million increase in recurring revenue and a $2.5 million increase in one-time sales, with the significant majority of both driven by the Jolt acquisition.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Solutions revenue increased $31.9 million for the nine months ended June 30, 2026, as compared to the same period in the prior fiscal year. The increase consisted of a $24.4 million increase in recurring revenue and a $7.5 million increase in one-time sales, with the significant majority of both driven by the Jolt acquisition.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ARR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ARR was $191 million as of June 30, 2026, compared to $126 million as of June 30, 2025. IoT Products &amp; Services ARR was $60 million as of June 30, 2026, compared to $30 million as of June 30, 2025. This increase was driven primarily by the acquisition of Particle and supported by growth in the subscription base across remote management platforms, extended warranty offerings and technical support. IoT Solutions ARR was $131 million as of June 30, 2026, compared to $96 million as of June 30, 2025, driven by the acquisition of Jolt, as well as growth in our existing Solutions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AND GROSS PROFIT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Below are cost of goods sold and gross profit as a percentage of their respective total revenue:</w:t>
      </w:r>
    </w:p>
    <w:tbl>
      <w:tblPr>
        <w:tblW w:w="7980" w:type="dxa"/>
        <w:jc w:val="center"/>
        <w:tblInd w:w="0" w:type="dxa"/>
        <w:tblLayout w:type="fixed"/>
        <w:tblCellMar>
          <w:top w:w="28" w:type="dxa"/>
          <w:left w:w="28" w:type="dxa"/>
          <w:bottom w:w="28" w:type="dxa"/>
          <w:right w:w="28" w:type="dxa"/>
        </w:tblCellMar>
      </w:tblPr>
      <w:tblGrid>
        <w:gridCol w:w="515"/>
        <w:gridCol w:w="453"/>
        <w:gridCol w:w="456"/>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271"/>
        <w:gridCol w:w="109"/>
        <w:gridCol w:w="109"/>
        <w:gridCol w:w="109"/>
        <w:gridCol w:w="311"/>
        <w:gridCol w:w="311"/>
        <w:gridCol w:w="443"/>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 (decr.)</w:t>
            </w:r>
          </w:p>
        </w:tc>
      </w:tr>
      <w:tr>
        <w:trPr/>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 (decr.)</w:t>
            </w:r>
          </w:p>
        </w:tc>
      </w:tr>
      <w:tr>
        <w:trPr/>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 of 64.8% increased 130 basis points in the third quarter of fiscal 2026 as compared to the third quarter of the prior fiscal year. This increase was the result of heightened inventory-related costs in the prior year that did not repeat.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 of 63.8% increased 120 basis points in the nine months ended June 30, 2026, as compared to the same period in the prior fiscal year. The majority of this increase was the result of heightened inventory-related costs in the prior year that did not repeat, with a lesser impact from favorable product margin mix.</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Below are our operating expenses and operating expenses as a percentage of total revenue:</w:t>
      </w:r>
    </w:p>
    <w:tbl>
      <w:tblPr>
        <w:tblW w:w="10072" w:type="dxa"/>
        <w:jc w:val="left"/>
        <w:tblInd w:w="0" w:type="dxa"/>
        <w:tblLayout w:type="fixed"/>
        <w:tblCellMar>
          <w:top w:w="28" w:type="dxa"/>
          <w:left w:w="28" w:type="dxa"/>
          <w:bottom w:w="28" w:type="dxa"/>
          <w:right w:w="28" w:type="dxa"/>
        </w:tblCellMar>
      </w:tblPr>
      <w:tblGrid>
        <w:gridCol w:w="835"/>
        <w:gridCol w:w="735"/>
        <w:gridCol w:w="740"/>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392"/>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w:t>
              <w:br/>
              <w:t>(decr.)</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w:t>
              <w:br/>
              <w:t>(decr.)</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$13.7 million increase in operating expenses for the three months ended June 30, 2026, as compared to the same period in the prior fiscal year, was due to a $9.2 million increase in labor expense and a $4.5 million increase in non-labor expense. These increases were driven by incremental costs from Jolt and Particle, including an increase in amortization expense due to acquisition-related intangibles, and higher labor costs among existing employees.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$38.1 million increase in operating expenses for the nine months ended June 30, 2026, as compared to the same period in the prior fiscal year, was due to a $25.4 million increase in labor expense and a $12.7 million increase in non-labor expense. These increases were driven by incremental costs from Jolt and Particle, including an increase in amortization expense due to acquisition-related intangibles, and higher labor costs among existing employees.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bl>
      <w:tblPr>
        <w:tblW w:w="9976" w:type="dxa"/>
        <w:jc w:val="left"/>
        <w:tblInd w:w="0" w:type="dxa"/>
        <w:tblLayout w:type="fixed"/>
        <w:tblCellMar>
          <w:top w:w="28" w:type="dxa"/>
          <w:left w:w="28" w:type="dxa"/>
          <w:bottom w:w="28" w:type="dxa"/>
          <w:right w:w="28" w:type="dxa"/>
        </w:tblCellMar>
      </w:tblPr>
      <w:tblGrid>
        <w:gridCol w:w="749"/>
        <w:gridCol w:w="658"/>
        <w:gridCol w:w="663"/>
        <w:gridCol w:w="109"/>
        <w:gridCol w:w="109"/>
        <w:gridCol w:w="109"/>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271"/>
        <w:gridCol w:w="109"/>
        <w:gridCol w:w="109"/>
        <w:gridCol w:w="109"/>
        <w:gridCol w:w="769"/>
        <w:gridCol w:w="769"/>
        <w:gridCol w:w="1087"/>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 increase (decrease)</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 increase (decrease)</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IoT Products &amp; Services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Products &amp; Services operating margin increased 160 basis points for the third quarter of fiscal 2026, as compared to the third quarter of fiscal 2025. This increase was primarily due to heightened inventory-related costs in the prior year that did not repeat and improved operating expense efficiencies as volume expanded at a greater rate than operating expenses.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Products &amp; Services operating margin increased 60 basis points for the nine months ended June 30, 2026, as compared to the same period in the prior fiscal year. This increase was due to heightened inventory-related costs in the prior year that did not repeat and favorable product margin mix, partially offset by an increase in amortization expense, due to the addition of acquisition-related intangibles.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IoT Solutions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Solutions operating margin increased 570 basis points for the third quarter of fiscal 2026, as compared to the third quarter of fiscal 2025. This increase was the result of improved operating expense efficiencies as volume expanded at a greater rate than operating expenses.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Solutions operating margin increased 300 basis points for the nine months ended June 30, 2026, as compared to the same period in the prior fiscal year. This increase was the result of improved operating margin efficiencies as volume expanded at a greater rate than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Below are our other expenses, net, and other expenses, net as a percentage of total revenue:</w:t>
      </w:r>
    </w:p>
    <w:tbl>
      <w:tblPr>
        <w:tblW w:w="9469" w:type="dxa"/>
        <w:jc w:val="left"/>
        <w:tblInd w:w="0" w:type="dxa"/>
        <w:tblLayout w:type="fixed"/>
        <w:tblCellMar>
          <w:top w:w="28" w:type="dxa"/>
          <w:left w:w="28" w:type="dxa"/>
          <w:bottom w:w="28" w:type="dxa"/>
          <w:right w:w="28" w:type="dxa"/>
        </w:tblCellMar>
      </w:tblPr>
      <w:tblGrid>
        <w:gridCol w:w="748"/>
        <w:gridCol w:w="658"/>
        <w:gridCol w:w="663"/>
        <w:gridCol w:w="109"/>
        <w:gridCol w:w="109"/>
        <w:gridCol w:w="109"/>
        <w:gridCol w:w="211"/>
        <w:gridCol w:w="691"/>
        <w:gridCol w:w="109"/>
        <w:gridCol w:w="109"/>
        <w:gridCol w:w="109"/>
        <w:gridCol w:w="109"/>
        <w:gridCol w:w="239"/>
        <w:gridCol w:w="241"/>
        <w:gridCol w:w="271"/>
        <w:gridCol w:w="109"/>
        <w:gridCol w:w="109"/>
        <w:gridCol w:w="109"/>
        <w:gridCol w:w="211"/>
        <w:gridCol w:w="691"/>
        <w:gridCol w:w="109"/>
        <w:gridCol w:w="109"/>
        <w:gridCol w:w="109"/>
        <w:gridCol w:w="109"/>
        <w:gridCol w:w="239"/>
        <w:gridCol w:w="241"/>
        <w:gridCol w:w="271"/>
        <w:gridCol w:w="109"/>
        <w:gridCol w:w="109"/>
        <w:gridCol w:w="109"/>
        <w:gridCol w:w="211"/>
        <w:gridCol w:w="691"/>
        <w:gridCol w:w="109"/>
        <w:gridCol w:w="109"/>
        <w:gridCol w:w="109"/>
        <w:gridCol w:w="109"/>
        <w:gridCol w:w="255"/>
        <w:gridCol w:w="256"/>
        <w:gridCol w:w="392"/>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w:t>
              <w:br/>
              <w:t>(decr.)</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w:t>
              <w:br/>
              <w:t>(decr.)</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increased for the three and nine months ended June 30, 2026, as compared to the same periods in the prior fiscal year due to increased interest expense, as the amount of outstanding debt increased due to the acquisition of Particle in the second quarter of fiscal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p>
      <w:pPr>
        <w:pStyle w:val="TextBody"/>
        <w:bidi w:val="0"/>
        <w:spacing w:lineRule="auto" w:line="288" w:before="200" w:after="283"/>
        <w:jc w:val="left"/>
        <w:rPr/>
      </w:pPr>
      <w:r>
        <w:rPr>
          <w:rFonts w:ascii="Times New Roman;serif" w:hAnsi="Times New Roman;serif"/>
          <w:b w:val="false"/>
          <w:color w:val="000000"/>
          <w:sz w:val="20"/>
        </w:rPr>
        <w:t xml:space="preserve">See </w:t>
      </w:r>
      <w:hyperlink w:anchor="i00c2f791a6d8425fa2dd8baea0441343_58">
        <w:r>
          <w:rPr>
            <w:rStyle w:val="InternetLink"/>
            <w:rFonts w:ascii="Times New Roman;serif" w:hAnsi="Times New Roman;serif"/>
            <w:b w:val="false"/>
            <w:color w:val="0000FF"/>
            <w:sz w:val="20"/>
            <w:u w:val="single"/>
          </w:rPr>
          <w:t>Note 9</w:t>
        </w:r>
      </w:hyperlink>
      <w:r>
        <w:rPr>
          <w:color w:val="000000"/>
        </w:rPr>
        <w:t xml:space="preserve"> </w:t>
      </w:r>
      <w:r>
        <w:rPr>
          <w:rFonts w:ascii="Times New Roman;serif" w:hAnsi="Times New Roman;serif"/>
          <w:b w:val="false"/>
          <w:color w:val="000000"/>
          <w:sz w:val="20"/>
        </w:rPr>
        <w:t>to the condensed consolidated financial statements for discussion of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KEY BUSINESS METRIC</w:t>
      </w:r>
    </w:p>
    <w:p>
      <w:pPr>
        <w:pStyle w:val="TextBody"/>
        <w:bidi w:val="0"/>
        <w:spacing w:lineRule="auto" w:line="247" w:before="200" w:after="283"/>
        <w:jc w:val="left"/>
        <w:rPr>
          <w:rFonts w:ascii="Times New Roman;serif" w:hAnsi="Times New Roman;serif"/>
          <w:b w:val="false"/>
          <w:color w:val="000000"/>
          <w:sz w:val="20"/>
        </w:rPr>
      </w:pPr>
      <w:r>
        <w:rPr>
          <w:rFonts w:ascii="Times New Roman;serif" w:hAnsi="Times New Roman;serif"/>
          <w:b w:val="false"/>
          <w:color w:val="000000"/>
          <w:sz w:val="20"/>
        </w:rPr>
        <w:t>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83"/>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pStyle w:val="TextBody"/>
        <w:bidi w:val="0"/>
        <w:spacing w:lineRule="auto" w:line="288" w:before="200" w:after="283"/>
        <w:jc w:val="left"/>
        <w:rPr/>
      </w:pPr>
      <w:r>
        <w:rPr>
          <w:rFonts w:ascii="Times New Roman;serif" w:hAnsi="Times New Roman;serif"/>
          <w:b w:val="false"/>
          <w:color w:val="000000"/>
          <w:sz w:val="20"/>
        </w:rPr>
        <w:t xml:space="preserve">See </w:t>
      </w:r>
      <w:hyperlink w:anchor="i00c2f791a6d8425fa2dd8baea0441343_46">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the condensed consolidated financial statements for additional discussion of goodwill.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includes adjusted net income, adjusted net income per diluted share and adjusted earnings before interest, taxes, depreciation and amortization ("Adjusted EBITDA"), each of which is a non-GAAP financial measure.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fiscal quarter of 2026, Digi modified its method of calculating adjusted net income and adjusted net income per share to include the impact of interest expense. This change was primarily driven by the continued use of financing by the Company to fund cash flow needs and therefore including the recurring nature of interest presents a better metric that management believes provides a more representative view of operating performance and cash-generating capability. Accordingly, we evaluated the impact of this change on prior-period disclosures and have recast adjusted net income and adjusted net income per share for all periods to conform to this presentation.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understand that there are material limitations on the use of non-GAAP measures. Non-GAAP measures are not substitutes for GAAP measures, such as net income, for the purpose of analyzing financial performance. The disclosure of these measures does not reflect all charges and gains that actually were recognized by Digi. These non-GAAP measures are not in accordance with, or an alternative for measures prepared in accordance with, generally accepted accounting principles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and Adjusted EBITDA Margin do not reflect our cash expenditures, the cash requirements for the replacement of depreciated and amortized assets, or changes in or cash requirements for our working capital needs.</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and acquisition-related expenses related to acquisitions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and restructuring charges and reversals, is useful to investors to evaluate our core operating results and financial performance because it excludes items that are significant non-cash or non-recurring items reflected in the Condensed Consolidated Statements of Operations. We believe that presenting Adjusted EBITDA as a percentage of revenue (i.e., Adjusted EBITDA Margin) is useful because it provides a reliable and consistent approach to measuring our performance year over year and in assessing our performance against that of other companies. We believe this information helps compare operating results and corporate performance exclusive of the impact of our capital structure and the method by which assets were acquired.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83"/>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Below are reconciliations from GAAP to non-GAAP information that we feel are important to our business: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Reconciliation of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2321" w:type="dxa"/>
        <w:jc w:val="left"/>
        <w:tblInd w:w="0" w:type="dxa"/>
        <w:tblLayout w:type="fixed"/>
        <w:tblCellMar>
          <w:top w:w="28" w:type="dxa"/>
          <w:left w:w="28" w:type="dxa"/>
          <w:bottom w:w="28" w:type="dxa"/>
          <w:right w:w="28" w:type="dxa"/>
        </w:tblCellMar>
      </w:tblPr>
      <w:tblGrid>
        <w:gridCol w:w="757"/>
        <w:gridCol w:w="259"/>
        <w:gridCol w:w="245"/>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72"/>
      </w:tblGrid>
      <w:tr>
        <w:trPr/>
        <w:tc>
          <w:tcPr>
            <w:tcW w:w="7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Reconciliation of Net Income and Net Income per Diluted Share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Net Income and Adjusted Net Income per Diluted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11098" w:type="dxa"/>
        <w:jc w:val="left"/>
        <w:tblInd w:w="0" w:type="dxa"/>
        <w:tblLayout w:type="fixed"/>
        <w:tblCellMar>
          <w:top w:w="28" w:type="dxa"/>
          <w:left w:w="28" w:type="dxa"/>
          <w:bottom w:w="28" w:type="dxa"/>
          <w:right w:w="28" w:type="dxa"/>
        </w:tblCellMar>
      </w:tblPr>
      <w:tblGrid>
        <w:gridCol w:w="816"/>
        <w:gridCol w:w="229"/>
        <w:gridCol w:w="231"/>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net income per diluted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asset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from the above adjustments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Discrete tax benefits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and adjusted net income per diluted share (3)</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37,623</w:t>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tax effect from the above adjustments assumes an estimated effective tax rate of 18.0% for fiscal 2026 and fiscal 2025 based on adjusted net income.</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(2)For the three and nine months ended June 30, 2026 and 2025, discrete tax benefits are a result of changes in excess tax benefits recognized on stock compensation.</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(3)Adjusted net income per diluted share may not add due to the use of rounded numbers.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83"/>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we have financed our operations and capital expenditures principally with funds generated from operations. In fiscal 2022 we issued debt to fund our acquisition of Ventus and in fiscal 2023 we extinguished the debt, replacing it with a revolving credit facility. We made draws on this credit facility to fund our acquisitions of Jolt in August 2025 and Particle in January 2026. Our liquidity requirements arise from our working capital needs, and, to a lesser extent, from our need to fund capital expenditures to support our current operations and facilitate growth and expansion. </w:t>
      </w:r>
    </w:p>
    <w:p>
      <w:pPr>
        <w:pStyle w:val="TextBody"/>
        <w:bidi w:val="0"/>
        <w:spacing w:lineRule="auto" w:line="288" w:before="200" w:after="283"/>
        <w:jc w:val="left"/>
        <w:rPr/>
      </w:pPr>
      <w:r>
        <w:rPr>
          <w:rFonts w:ascii="Times New Roman;serif" w:hAnsi="Times New Roman;serif"/>
          <w:b w:val="false"/>
          <w:color w:val="000000"/>
          <w:sz w:val="20"/>
        </w:rPr>
        <w:t xml:space="preserve">On December 23, 2025, we amended our Credit Agreement. The Credit Agreement provides Digi with a $250 million senior secured revolving credit facility, with an uncommitted accordion feature that provides additional borrowing capacity of up to the greater of $105 million or one hundred percent of trailing twelve month adjusted earnings before interest, taxes, depreciation, and amortization. The Credit Facility also contains a $10 million letter of credit sublimit and $10 million swingline sub-facility. For additional information regarding the terms of our Credit Facility, including the Revolving Loan and its sub-facilities, see </w:t>
      </w:r>
      <w:hyperlink w:anchor="i00c2f791a6d8425fa2dd8baea0441343_49">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 xml:space="preserve">to our condensed consolidated financial statements.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12 months and beyond. </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We intend to continue to deleverage the Company's balance sheet.</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Acquisitions remain a top capital priority for Digi as reflected by our acquisition of Particle announced on January 27.</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We will continue to be disciplined in our approach and act when we believe an opportunity is appropriate to execute in the context of prevailing market conditions.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Below our condensed consolidated statements of cash flows for the nine months ended June 30, 2026 and 2025 are summarized:</w:t>
      </w:r>
    </w:p>
    <w:tbl>
      <w:tblPr>
        <w:tblW w:w="7971" w:type="dxa"/>
        <w:jc w:val="center"/>
        <w:tblInd w:w="0" w:type="dxa"/>
        <w:tblLayout w:type="fixed"/>
        <w:tblCellMar>
          <w:top w:w="28" w:type="dxa"/>
          <w:left w:w="28" w:type="dxa"/>
          <w:bottom w:w="28" w:type="dxa"/>
          <w:right w:w="28" w:type="dxa"/>
        </w:tblCellMar>
      </w:tblPr>
      <w:tblGrid>
        <w:gridCol w:w="1838"/>
        <w:gridCol w:w="1619"/>
        <w:gridCol w:w="1628"/>
        <w:gridCol w:w="109"/>
        <w:gridCol w:w="109"/>
        <w:gridCol w:w="109"/>
        <w:gridCol w:w="211"/>
        <w:gridCol w:w="826"/>
        <w:gridCol w:w="109"/>
        <w:gridCol w:w="109"/>
        <w:gridCol w:w="109"/>
        <w:gridCol w:w="109"/>
        <w:gridCol w:w="211"/>
        <w:gridCol w:w="721"/>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increased $30.5 million. This was largely driven by a $11.4 million decrease in deferred income tax benefit in the first nine months of fiscal 2026, primarily relating to accelerated utilization of tax assets caused by the One Big Beautiful Bill Act, compared to a $2.5 million increase in the first nine months of fiscal 2025, a $7.9 million increase in net income, a $7.1 million increase in amortization expense and a smaller increase in stock based compensation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flows used for investing activities increased $48.4 million almost entirely caused by the net cash paid for the acquisition of Particle.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decreased $31.7 million. This was driven by a $34.0 million draw on our revolving credit agreement to fund the acquisition of Particle, partially offset by an increase in debt payments in the first nine months of fiscal 2026 compared to the first nine months of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83"/>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CONTRACTUAL OBLIGATIONS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contractual obligations at June 30, 2026:</w:t>
      </w:r>
    </w:p>
    <w:tbl>
      <w:tblPr>
        <w:tblW w:w="8709" w:type="dxa"/>
        <w:jc w:val="center"/>
        <w:tblInd w:w="0" w:type="dxa"/>
        <w:tblLayout w:type="fixed"/>
        <w:tblCellMar>
          <w:top w:w="28" w:type="dxa"/>
          <w:left w:w="28" w:type="dxa"/>
          <w:bottom w:w="28" w:type="dxa"/>
          <w:right w:w="28" w:type="dxa"/>
        </w:tblCellMar>
      </w:tblPr>
      <w:tblGrid>
        <w:gridCol w:w="526"/>
        <w:gridCol w:w="463"/>
        <w:gridCol w:w="466"/>
        <w:gridCol w:w="109"/>
        <w:gridCol w:w="109"/>
        <w:gridCol w:w="109"/>
        <w:gridCol w:w="211"/>
        <w:gridCol w:w="826"/>
        <w:gridCol w:w="109"/>
        <w:gridCol w:w="109"/>
        <w:gridCol w:w="109"/>
        <w:gridCol w:w="109"/>
        <w:gridCol w:w="318"/>
        <w:gridCol w:w="928"/>
        <w:gridCol w:w="164"/>
        <w:gridCol w:w="109"/>
        <w:gridCol w:w="109"/>
        <w:gridCol w:w="109"/>
        <w:gridCol w:w="211"/>
        <w:gridCol w:w="826"/>
        <w:gridCol w:w="109"/>
        <w:gridCol w:w="109"/>
        <w:gridCol w:w="109"/>
        <w:gridCol w:w="109"/>
        <w:gridCol w:w="211"/>
        <w:gridCol w:w="616"/>
        <w:gridCol w:w="109"/>
        <w:gridCol w:w="109"/>
        <w:gridCol w:w="109"/>
        <w:gridCol w:w="109"/>
        <w:gridCol w:w="211"/>
        <w:gridCol w:w="616"/>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Payments due by fiscal period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r>
      <w:tr>
        <w:trPr/>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leases included above primarily relate to office space. The table above does not include possible payments for uncertain tax positions. Our reserve for uncertain tax positions, including accrued interest and penalties, was $0.2 million as of June 30, 2026. Due to the nature of the underlying liabilities and the extended time often needed to resolve income tax uncertainties, we cannot make reliable estimates of the amount or timing of future cash payments that may be required to settle these liabilities. The table above also does not include those obligations for royalties under license agreements as these royalties are calculated based on future sales of licensed products and we cannot make reliable estimates of the amount of cash payments.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RECENTLY ISSUED ACCOUNTING PRONOUNCEMENTS</w:t>
      </w:r>
    </w:p>
    <w:p>
      <w:pPr>
        <w:pStyle w:val="TextBody"/>
        <w:bidi w:val="0"/>
        <w:spacing w:lineRule="auto" w:line="288" w:before="200" w:after="283"/>
        <w:jc w:val="left"/>
        <w:rPr/>
      </w:pPr>
      <w:r>
        <w:rPr>
          <w:rFonts w:ascii="Times New Roman;serif" w:hAnsi="Times New Roman;serif"/>
          <w:b w:val="false"/>
          <w:color w:val="000000"/>
          <w:sz w:val="20"/>
        </w:rPr>
        <w:t xml:space="preserve">See </w:t>
      </w:r>
      <w:hyperlink w:anchor="i00c2f791a6d8425fa2dd8baea0441343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ongoing market risk related to changes in interest rates and foreign currency exchange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INTEREST RATE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related to fluctuations in interest rates on amounts borrowed under the Credit Facility. As of June 30, 2026, we had $109.0 million outstanding under our Revolving Loan. 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Credit Facility is in a range of 1.35% to 3.10% for Term SOFR loans and 0.35% to 2.10% for base rate loans, depending on Digi’s total net leverage ratio. Borrowings for October 2025 through February 2026 were made at Term SOFR for a one-month interest election period. Borrowings were made on a six-month interest election period after February 2026. Our weighted average Revolving Loan applicable margin was 1.35% as of June 30, 2026. Our weighted average interest rate for our Credit Facility was 4.95% as of June 30, 2026. </w:t>
      </w:r>
    </w:p>
    <w:p>
      <w:pPr>
        <w:pStyle w:val="TextBody"/>
        <w:bidi w:val="0"/>
        <w:spacing w:lineRule="auto" w:line="288" w:before="200" w:after="283"/>
        <w:jc w:val="left"/>
        <w:rPr/>
      </w:pPr>
      <w:r>
        <w:rPr>
          <w:rFonts w:ascii="Times New Roman;serif" w:hAnsi="Times New Roman;serif"/>
          <w:b w:val="false"/>
          <w:color w:val="000000"/>
          <w:sz w:val="20"/>
        </w:rPr>
        <w:t>Digi bases the interest period election described above on a monthly assessment of the interest rate environment. Based on the balance sheet position for the Revolving Loan at June 30, 2026, the annualized effect of a 25 basis point change in interest rates would increase or decrease our interest expense by $0.3 million. For additional information, see </w:t>
      </w:r>
      <w:hyperlink w:anchor="i00c2f791a6d8425fa2dd8baea0441343_49">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10% change in the average exchange rate for the Euro, British Pound, Australian Dollar and Canadian Dollar to the U.S. Dollar during the first nine months of fiscal 2026 would have resulted in a 0.9% increase or decrease in stockholders' equity due to foreign currency translation.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pPr>
      <w:r>
        <w:rPr>
          <w:rFonts w:ascii="Times New Roman;serif" w:hAnsi="Times New Roman;serif"/>
          <w:b w:val="false"/>
          <w:color w:val="000000"/>
          <w:sz w:val="20"/>
        </w:rPr>
        <w:t xml:space="preserve">The disclosure set forth in </w:t>
      </w:r>
      <w:hyperlink w:anchor="i00c2f791a6d8425fa2dd8baea0441343_67">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color w:val="000000"/>
          <w:sz w:val="20"/>
        </w:rPr>
        <w:t>to the condensed consolidated financial statements in Part I, Item 1 of this Form 10-Q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Except as set forth below, there have been no material changes in our risk factors from those previously disclosed in Item 1A of Part I of our Annual Report on </w:t>
      </w:r>
      <w:hyperlink r:id="rId8">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September 30,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We depend on manufacturing relationships and a broad set of suppliers, some of whom provide us with limited-source components and parts, and disruptions in these relationships may cause damage to our customer relationships or otherwise negatively impact our business.</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We procure all parts and certain services involved in the production of our products and subcontract most of our product manufacturing to outside firms that specialize in such services. Although most of the components of our products are available from multiple vendors, we have several single-source supplier relationships, either because alternative sources are not available or because the relationship is advantageous to us. Further, in recent years global supply chains have experienced stress due to a range of factors. This has impacted our own ability to procure certain inventory and services. These disruptions also caused us to order significant amounts of inventory as we were uncertain whether we would otherwise be able to procure necessary parts and components to meet customer needs. As a result, at times we held elevated levels of inventory compared to historical norms. The impacts of these circumstances driven by supply chain stress were material in some instances and it is possible additional material impacts could occur in the future. There can be no assurance that our suppliers will be able to meet our future requirements for products and components in a timely fashion. In addition, the availability of many of the components we need is dependent in part on our ability to provide our suppliers with accurate forecasts of our future requirements. Delays or lost revenue could be caused by other factors beyond our control, including late deliveries by vendors of components, or force majeure events. As an example of force majeure, a fire many years ago disrupted the operations at one of our contract manufacturers in Thailand. If we are required to identify alternative suppliers for any of our required components, qualification and pre-production periods could be lengthy and may cause an increase in component costs and delays in providing products to customers. Any extended interruption in the supply of any of the key components or the availability of manufacturing services that currently are obtained from limited sources could disrupt our operations and have a material adverse effect on our customer relationships and profitability.</w:t>
      </w:r>
    </w:p>
    <w:p>
      <w:pPr>
        <w:pStyle w:val="TextBody"/>
        <w:bidi w:val="0"/>
        <w:spacing w:lineRule="auto" w:line="276" w:before="200" w:after="283"/>
        <w:jc w:val="left"/>
        <w:rPr>
          <w:rFonts w:ascii="Times New Roman;serif" w:hAnsi="Times New Roman;serif"/>
          <w:b w:val="false"/>
          <w:i/>
          <w:color w:val="000000"/>
          <w:sz w:val="20"/>
        </w:rPr>
      </w:pPr>
      <w:r>
        <w:rPr>
          <w:rFonts w:ascii="Times New Roman;serif" w:hAnsi="Times New Roman;serif"/>
          <w:b w:val="false"/>
          <w:i/>
          <w:color w:val="000000"/>
          <w:sz w:val="20"/>
        </w:rPr>
        <w:t>We are dependent on third parties to manufacture our products which could have adverse impacts on our business if such manufacturers encounter operating restraints or if we do not properly forecast customer demand.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reliant on third parties to manufacture our products in countries such as Mexico, Thailand, Taiwan, Cambodia and China. The ability of these manufacturers to provide us with the timely provision of finished products is subject to a number of disruptions beyond their control such as, among others: the availability of components from suppliers, labor shortages, energy shortages such as those from time to time encountered in China, changes in government regulations, tensions with foreign governments or other factors. If we do not properly forecast customer demands for products any lengthening in lead times or disruptions in service could result in lost revenues and adversely impact our business, results of operation, financial condition and prospects.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We face risks associated with our international operations that could impair our ability to grow our revenue abroad as well as our overall financial condition.</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growth may be dependent in part upon our ability to increase sales in international markets. These sales are subject to a variety of risks, including fluctuations in currency exchange rates, tariffs, import restrictions and other trade barriers, geopolitical tensions, unexpected or very burdensome changes in regulatory requirements, longer accounts receivable payment cycles, potentially adverse tax consequences, and export license requirements. The impact of these risks is not able to be estimated and the circumstances associated with these risks is extremely fluid in the current macro-economic environment. In addition, we are subject to the risks inherent in conducting business internationally, including political and economic instability, military conflicts and unexpected changes in diplomatic and trade relationships. In many markets where we operate business and cultural norms are different than those in the United States and practices that may violate laws and regulations applicable to us like the Foreign Corrupt Practices Act ("FCPA") and the UK Anti-Bribery Act ("UKBA") are more commonplace. Although we have implemented policies and procedures with the intention of ensuring compliance with these laws and regulations, our employees, contractors and agents, as well as channel partners involved in our international sales, may take actions in violation of our policies. Many of our vendors and strategic business allies also have international operations and are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above-described risks. Even if we are able to successfully manage the risks of international operations, our business may be adversely affected if one or more of our business relations are not able to successfully manage these risks. There can be no assurance that one or more of these factors will not have a material adverse effect on our business strategy and financial condition.</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these risks, our offices and employees in foreign jurisdictions, including Australia, Belgium, Canada, China, France, Germany, Japan, Mexico, Poland, Spain, Singapore, Sweden and United Kingdom, create additional operational and compliance risks. Local labor, employment, tax and benefits laws may increase our operating costs, limit our ability to adjust staffing levels, or expose us to unexpected liabilities. Government inspections, audits, or investigations could disrupt operations or result in fines or penalties. Employees in these jurisdictions may also face heightened personal security, regulatory, or compliance risks. Evolving data</w:t>
        <w:noBreakHyphen/>
        <w:t>security, cybersecurity, and data</w:t>
        <w:noBreakHyphen/>
        <w:t>localization requirements in foreign jurisdictions may impose additional compliance obligations and operational constraints. Changes in U.S. relations with these foreign jurisdictions could also result in new restrictions that impair our ability to operate or support employees there.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Artificial intelligence (“AI”) tools may enable threat actors to discover and exploit vulnerabilities in our products and infrastructure, and to conduct more sophisticated attacks, faster than we are able to respond.</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Frontier AI models offered by major developers, as well as various open-source models that are more difficult for governments to regulate, are increasingly capable of automating vulnerability discovery, accelerating the development of exploits, and identifying security weaknesses across complex product portfolios at a speed and scale that was not previously achievable. Nation-state actors and other sophisticated threat actors may also use these AI tools to enhance or automate additional attack vectors, including AI-generated phishing and social engineering campaigns, deepfake-based impersonation, and agentic AI systems capable of executing multi-stage attacks, such as ransomware or extortion campaigns, with limited human involvement. We believe this represents a material change in the threat environment facing many companies, including those like ours that develop and sell networked hardware and software products.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Our product portfolio includes devices across a range of patchability profiles. Some products support over-the-air updates; others require full firmware replacement; others depend on OEM licensees to develop and distribute patches to end customers; and a legacy population of devices cannot be fully remediated through software updates at all. Our reliance on OEM licensees and other third parties to develop, test, and distribute patches may also expose us to additional supply-chain risk, as AI tools may similarly accelerate the discovery and exploitation of vulnerabilities in third-party components and dependencies that are outside our direct control. In an environment where the window between vulnerability identification and active exploitation may be materially shorter than it has historically been, our ability to respond to newly discovered vulnerabilities across all affected products and internal systems within committed timeframes cannot be guaranteed.</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Several of our management platforms are cloud-based and operate at a layer above individual devices, aggregating access across many devices and customers. A security incident affecting any one of these platforms could affect multiple enterprise customers simultaneously, which is categorically different in scope and consequence from a device-level vulnerability. Our incident response protocols, contractual commitments, and insurance coverage may not fully account for this concentration risk, and any resulting fines, penalties, or damages may not be fully covered by our insurance policies.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The volume of vulnerabilities identified across our product lines and internal systems may also increase materially as AI-assisted discovery tools become more widely available to both security researchers and malicious actors. Our ability to triage, assess, and remediate vulnerabilities at elevated volume while meeting existing customer service-level agreement (SLA) commitments and regulatory reporting obligations (such as the EU Cyber Resilience Act reporting requirements effective September 2026) may be constrained by available internal resources and the architectural limitations described above. If we are unable to respond to vulnerabilities at the pace the current threat environment demands, we may face increased costs, customer attrition, contractual liability, regulatory investigations or actions, litigation, regulatory penalties, loss of revenue or profits, loss of customers or sales, and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information with respect to purchases made by or on behalf of Digi or any "affiliated purchaser" (as defined in Rule 10b-18(a)(3) under the Exchange Act), of our common stock during the third quarter of fiscal 2026:</w:t>
      </w:r>
    </w:p>
    <w:tbl>
      <w:tblPr>
        <w:tblW w:w="10205" w:type="dxa"/>
        <w:jc w:val="left"/>
        <w:tblInd w:w="0" w:type="dxa"/>
        <w:tblLayout w:type="fixed"/>
        <w:tblCellMar>
          <w:top w:w="28" w:type="dxa"/>
          <w:left w:w="28" w:type="dxa"/>
          <w:bottom w:w="28" w:type="dxa"/>
          <w:right w:w="28" w:type="dxa"/>
        </w:tblCellMar>
      </w:tblPr>
      <w:tblGrid>
        <w:gridCol w:w="414"/>
        <w:gridCol w:w="362"/>
        <w:gridCol w:w="366"/>
        <w:gridCol w:w="109"/>
        <w:gridCol w:w="109"/>
        <w:gridCol w:w="109"/>
        <w:gridCol w:w="506"/>
        <w:gridCol w:w="506"/>
        <w:gridCol w:w="508"/>
        <w:gridCol w:w="109"/>
        <w:gridCol w:w="109"/>
        <w:gridCol w:w="109"/>
        <w:gridCol w:w="299"/>
        <w:gridCol w:w="875"/>
        <w:gridCol w:w="154"/>
        <w:gridCol w:w="109"/>
        <w:gridCol w:w="109"/>
        <w:gridCol w:w="109"/>
        <w:gridCol w:w="805"/>
        <w:gridCol w:w="805"/>
        <w:gridCol w:w="807"/>
        <w:gridCol w:w="109"/>
        <w:gridCol w:w="109"/>
        <w:gridCol w:w="109"/>
        <w:gridCol w:w="679"/>
        <w:gridCol w:w="1306"/>
        <w:gridCol w:w="505"/>
      </w:tblGrid>
      <w:tr>
        <w:trPr/>
        <w:tc>
          <w:tcPr>
            <w:tcW w:w="4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Number of Shares Purchased</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Dollar Value of Shares that May Yet Be Purchased Under the Program</w:t>
            </w:r>
          </w:p>
        </w:tc>
      </w:tr>
      <w:tr>
        <w:trPr/>
        <w:tc>
          <w:tcPr>
            <w:tcW w:w="11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All shares reported were forfeited by employees in connection with the satisfaction of tax withholding obligations related to the vesting of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left"/>
        <w:rPr/>
      </w:pPr>
      <w:r>
        <w:rPr>
          <w:rFonts w:ascii="Times New Roman;serif" w:hAnsi="Times New Roman;serif"/>
          <w:b w:val="false"/>
          <w:color w:val="000000"/>
          <w:sz w:val="20"/>
        </w:rPr>
        <w:t xml:space="preserve">During the three months ended June 30, 2026, none of our directors or officers </w:t>
      </w:r>
      <w:r>
        <w:rPr>
          <w:rFonts w:ascii="Times New Roman;serif" w:hAnsi="Times New Roman;serif"/>
          <w:b w:val="false"/>
          <w:color w:val="000000"/>
          <w:sz w:val="20"/>
          <w:shd w:fill="FFFFFF" w:val="clear"/>
        </w:rPr>
        <w:t>(as defined in Rule 16a-1(f) of the Exchange Act)</w:t>
      </w:r>
      <w:r>
        <w:rPr>
          <w:color w:val="000000"/>
        </w:rPr>
        <w:t xml:space="preserve"> </w:t>
      </w:r>
      <w:r>
        <w:rPr>
          <w:rFonts w:ascii="Times New Roman;serif" w:hAnsi="Times New Roman;serif"/>
          <w:b w:val="false"/>
          <w:color w:val="000000"/>
          <w:sz w:val="20"/>
        </w:rPr>
        <w:t>adopted, modified or terminated a</w:t>
      </w:r>
      <w:r>
        <w:rPr>
          <w:rFonts w:ascii="Times New Roman;serif" w:hAnsi="Times New Roman;serif"/>
          <w:b w:val="false"/>
          <w:color w:val="000000"/>
          <w:sz w:val="20"/>
          <w:shd w:fill="FFFFFF" w:val="clear"/>
        </w:rPr>
        <w:t>ny contract, instruction, or written plan for the purchase or sale of our securities that was intended to satisfy the affirmative defense conditions of</w:t>
      </w:r>
      <w:r>
        <w:rPr>
          <w:color w:val="000000"/>
        </w:rPr>
        <w:t xml:space="preserve"> </w:t>
      </w:r>
      <w:r>
        <w:rPr>
          <w:rFonts w:ascii="Times New Roman;serif" w:hAnsi="Times New Roman;serif"/>
          <w:b w:val="false"/>
          <w:color w:val="000000"/>
          <w:sz w:val="20"/>
        </w:rPr>
        <w:t>Rule 10b5-1(c) of the Exchange Act or any non-Rule 10b5-1 trading arrangement (as defined in Item 408(c) of Regulation S-K).</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8"/>
        <w:gridCol w:w="213"/>
        <w:gridCol w:w="125"/>
        <w:gridCol w:w="125"/>
        <w:gridCol w:w="125"/>
        <w:gridCol w:w="130"/>
        <w:gridCol w:w="2685"/>
        <w:gridCol w:w="2540"/>
        <w:gridCol w:w="2564"/>
        <w:gridCol w:w="584"/>
        <w:gridCol w:w="436"/>
        <w:gridCol w:w="410"/>
      </w:tblGrid>
      <w:tr>
        <w:trPr/>
        <w:tc>
          <w:tcPr>
            <w:tcW w:w="2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Method of Filing</w:t>
            </w:r>
          </w:p>
        </w:tc>
      </w:tr>
      <w:tr>
        <w:trPr/>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7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the Company, as amended (1)</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Amended and Restated By-Laws of the Company</w:t>
              </w:r>
            </w:hyperlink>
            <w:r>
              <w:rPr>
                <w:color w:val="000000"/>
              </w:rPr>
              <w:t xml:space="preserve"> </w:t>
            </w:r>
            <w:r>
              <w:rPr>
                <w:rFonts w:ascii="Times New Roman;serif" w:hAnsi="Times New Roman;serif"/>
                <w:b w:val="false"/>
                <w:color w:val="000000"/>
                <w:sz w:val="20"/>
              </w:rPr>
              <w:t>(2)</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1a_2026630x10q.htm">
              <w:r>
                <w:rPr>
                  <w:rStyle w:val="InternetLink"/>
                  <w:rFonts w:ascii="Times New Roman;serif" w:hAnsi="Times New Roman;serif"/>
                  <w:b w:val="false"/>
                  <w:color w:val="0000FF"/>
                  <w:sz w:val="20"/>
                  <w:u w:val="single"/>
                </w:rPr>
                <w:t>Rule 13a-14(a)/15d-14(a) Certification of Chief Executive Officer</w:t>
              </w:r>
            </w:hyperlink>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1b_2026630x10q.htm">
              <w:r>
                <w:rPr>
                  <w:rStyle w:val="InternetLink"/>
                  <w:rFonts w:ascii="Times New Roman;serif" w:hAnsi="Times New Roman;serif"/>
                  <w:b w:val="false"/>
                  <w:color w:val="0000FF"/>
                  <w:sz w:val="20"/>
                  <w:u w:val="single"/>
                </w:rPr>
                <w:t>Rule 13a-14(a)/15d-14(a) Certification of Chief Financial Officer</w:t>
              </w:r>
            </w:hyperlink>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2_2026630x10q.htm">
              <w:r>
                <w:rPr>
                  <w:rStyle w:val="InternetLink"/>
                  <w:rFonts w:ascii="Times New Roman;serif" w:hAnsi="Times New Roman;serif"/>
                  <w:b w:val="false"/>
                  <w:color w:val="0000FF"/>
                  <w:sz w:val="20"/>
                  <w:u w:val="single"/>
                </w:rPr>
                <w:t>Section 1350 Certification</w:t>
              </w:r>
            </w:hyperlink>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 Electronically</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Digi International Inc.'s Quarterly Report on Form 10-Q for the fiscal period ended June 30, 2026, as filed with the Securities and Exchange Commission, formatted in iXBRL (Inline eXtensible Business Reporting Language): (i) Condensed Consolidated Statements of Operations; (ii) Condensed Consolidated Statements of Comprehensive Income; (iii) Condensed Consolidated Balance Sheets; (iv) Condensed Consolidated Statements of Cash Flows; (v) Condensed Consolidated Statements of Stockholders' Equity; (vi) the Notes to the Condensed Consolidated Financial Statements; and (vii) the information set forth in Part II, Item 5.</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Digi International Inc.'s Quarterly Report on Form 10-Q for the period ended June 30, 2026 is formatted in iXBRL (included in Exhibit 101).</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8"/>
        </w:rPr>
        <w:t>(1)</w:t>
      </w:r>
      <w:r>
        <w:rPr>
          <w:rFonts w:ascii="Times New Roman;serif" w:hAnsi="Times New Roman;serif"/>
          <w:b w:val="false"/>
          <w:color w:val="000000"/>
          <w:sz w:val="20"/>
        </w:rPr>
        <w:t>Incorporated by reference to Exhibit 3(a) to the Company's Annual Report on Form 10-K for the year ended September 30, 1993.</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(2)Incorporated by reference to Exhibit 3.1 to the Company's Current Report on Form 8-K filed on April 30, 2020.</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0c2f791a6d8425fa2dd8baea04413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95"/>
        <w:gridCol w:w="172"/>
        <w:gridCol w:w="173"/>
        <w:gridCol w:w="399"/>
        <w:gridCol w:w="399"/>
        <w:gridCol w:w="401"/>
        <w:gridCol w:w="255"/>
        <w:gridCol w:w="255"/>
        <w:gridCol w:w="255"/>
        <w:gridCol w:w="1216"/>
        <w:gridCol w:w="1216"/>
        <w:gridCol w:w="1216"/>
        <w:gridCol w:w="1216"/>
        <w:gridCol w:w="1216"/>
        <w:gridCol w:w="1242"/>
        <w:gridCol w:w="109"/>
        <w:gridCol w:w="109"/>
        <w:gridCol w:w="161"/>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INC.</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73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Loch</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Loch</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 (Principal Financial Officer and Authorized Officer)</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31(a)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Ronald E. Konezny, certify that: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Digi International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896" w:type="dxa"/>
        <w:jc w:val="left"/>
        <w:tblInd w:w="0" w:type="dxa"/>
        <w:tblLayout w:type="fixed"/>
        <w:tblCellMar>
          <w:top w:w="28" w:type="dxa"/>
          <w:left w:w="28" w:type="dxa"/>
          <w:bottom w:w="28" w:type="dxa"/>
          <w:right w:w="28" w:type="dxa"/>
        </w:tblCellMar>
      </w:tblPr>
      <w:tblGrid>
        <w:gridCol w:w="493"/>
        <w:gridCol w:w="435"/>
        <w:gridCol w:w="437"/>
        <w:gridCol w:w="351"/>
        <w:gridCol w:w="351"/>
        <w:gridCol w:w="351"/>
        <w:gridCol w:w="351"/>
        <w:gridCol w:w="351"/>
        <w:gridCol w:w="351"/>
        <w:gridCol w:w="351"/>
        <w:gridCol w:w="351"/>
        <w:gridCol w:w="351"/>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1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E. Konezny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E. Konezny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31(b)</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J. Loch,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Digi International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714" w:type="dxa"/>
        <w:jc w:val="left"/>
        <w:tblInd w:w="0" w:type="dxa"/>
        <w:tblLayout w:type="fixed"/>
        <w:tblCellMar>
          <w:top w:w="28" w:type="dxa"/>
          <w:left w:w="28" w:type="dxa"/>
          <w:bottom w:w="28" w:type="dxa"/>
          <w:right w:w="28" w:type="dxa"/>
        </w:tblCellMar>
      </w:tblPr>
      <w:tblGrid>
        <w:gridCol w:w="493"/>
        <w:gridCol w:w="435"/>
        <w:gridCol w:w="437"/>
        <w:gridCol w:w="553"/>
        <w:gridCol w:w="553"/>
        <w:gridCol w:w="553"/>
        <w:gridCol w:w="553"/>
        <w:gridCol w:w="553"/>
        <w:gridCol w:w="553"/>
        <w:gridCol w:w="553"/>
        <w:gridCol w:w="553"/>
        <w:gridCol w:w="553"/>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9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Digi International Inc. (the Registrant) on Form 10-Q for the fiscal quarter ended June 30, 2026 as filed with the Securities and Exchange Commission on the date hereof, each of the undersigned certifies, pursuant to 18 U.S.C. §1350, as adopted pursuant to §906 of the Sarbanes-Oxley Act of 2002,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Quarterly Report on Form 10-Q fairly presents, in all material respects, the financial condition and results of operations of the Registrant.</w:t>
      </w:r>
    </w:p>
    <w:tbl>
      <w:tblPr>
        <w:tblW w:w="6669" w:type="dxa"/>
        <w:jc w:val="left"/>
        <w:tblInd w:w="0" w:type="dxa"/>
        <w:tblLayout w:type="fixed"/>
        <w:tblCellMar>
          <w:top w:w="28" w:type="dxa"/>
          <w:left w:w="28" w:type="dxa"/>
          <w:bottom w:w="28" w:type="dxa"/>
          <w:right w:w="28" w:type="dxa"/>
        </w:tblCellMar>
      </w:tblPr>
      <w:tblGrid>
        <w:gridCol w:w="493"/>
        <w:gridCol w:w="435"/>
        <w:gridCol w:w="437"/>
        <w:gridCol w:w="548"/>
        <w:gridCol w:w="548"/>
        <w:gridCol w:w="548"/>
        <w:gridCol w:w="548"/>
        <w:gridCol w:w="548"/>
        <w:gridCol w:w="548"/>
        <w:gridCol w:w="548"/>
        <w:gridCol w:w="548"/>
        <w:gridCol w:w="548"/>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E. Konezny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E. Konezny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854775/000085477525000026/dgii-20250930.htm" TargetMode="External"/><Relationship Id="rId4" Type="http://schemas.openxmlformats.org/officeDocument/2006/relationships/hyperlink" Target="https://www.sec.gov/ix?doc=/Archives/edgar/data/0000854775/000085477525000026/dgii-20250930.htm" TargetMode="External"/><Relationship Id="rId5" Type="http://schemas.openxmlformats.org/officeDocument/2006/relationships/hyperlink" Target="https://www.sec.gov/ix?doc=/Archives/edgar/data/0000854775/000085477525000026/dgii-20250930.htm" TargetMode="External"/><Relationship Id="rId6" Type="http://schemas.openxmlformats.org/officeDocument/2006/relationships/hyperlink" Target="https://www.sec.gov/ix?doc=/Archives/edgar/data/0000854775/000085477525000026/dgii-20250930.htm" TargetMode="External"/><Relationship Id="rId7" Type="http://schemas.openxmlformats.org/officeDocument/2006/relationships/hyperlink" Target="https://www.sec.gov/ix?doc=/Archives/edgar/data/0000854775/000085477525000026/dgii-20250930.htm" TargetMode="External"/><Relationship Id="rId8" Type="http://schemas.openxmlformats.org/officeDocument/2006/relationships/hyperlink" Target="https://www.sec.gov/ix?doc=/Archives/edgar/data/0000854775/000085477525000026/dgii-20250930.htm" TargetMode="External"/><Relationship Id="rId9" Type="http://schemas.openxmlformats.org/officeDocument/2006/relationships/hyperlink" Target="https://www.sec.gov/Archives/edgar/data/854775/000110465920054438/tm2018116d1_ex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16929</Words>
  <Characters>92240</Characters>
  <CharactersWithSpaces>107672</CharactersWithSpaces>
  <Paragraphs>2822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