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2023</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42"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ind w:right="28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January 26, 2024, there were 36,256,612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w:t>
            </w:r>
          </w:p>
        </w:tc>
        <w:tc>
          <w:tcPr>
            <w:tcW w:w="464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0"/>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7"/>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600" w:type="dxa"/>
            <w:vAlign w:val="bottom"/>
            <w:tcBorders>
              <w:bottom w:val="single" w:sz="8" w:color="auto"/>
            </w:tcBorders>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Borders>
              <w:bottom w:val="single" w:sz="8" w:color="auto"/>
            </w:tcBorders>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3520" w:type="dxa"/>
            <w:vAlign w:val="bottom"/>
            <w:gridSpan w:val="5"/>
          </w:tcPr>
          <w:p>
            <w:pPr>
              <w:jc w:val="right"/>
              <w:ind w:right="499"/>
              <w:spacing w:after="0"/>
              <w:rPr>
                <w:sz w:val="20"/>
                <w:szCs w:val="20"/>
                <w:color w:val="auto"/>
              </w:rPr>
            </w:pPr>
            <w:r>
              <w:rPr>
                <w:rFonts w:ascii="Times New Roman" w:cs="Times New Roman" w:eastAsia="Times New Roman" w:hAnsi="Times New Roman"/>
                <w:sz w:val="16"/>
                <w:szCs w:val="16"/>
                <w:color w:val="auto"/>
              </w:rPr>
              <w:t>(in thousands, except per share data)</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77,250</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81,755</w:t>
            </w: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106,089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109,306</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39,612</w:t>
            </w: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2"/>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47,785</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61,521</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w:t>
            </w: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16,358</w:t>
            </w:r>
          </w:p>
        </w:tc>
      </w:tr>
      <w:tr>
        <w:trPr>
          <w:trHeight w:val="212"/>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49,558</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11,963</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w:t>
            </w: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 write off</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75"/>
        </w:trPr>
        <w:tc>
          <w:tcPr>
            <w:tcW w:w="77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4"/>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36,129</w:t>
            </w: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520" w:type="dxa"/>
            <w:vAlign w:val="bottom"/>
            <w:tcBorders>
              <w:bottom w:val="single" w:sz="8" w:color="auto"/>
            </w:tcBorders>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tcBorders>
              <w:bottom w:val="single" w:sz="8" w:color="auto"/>
            </w:tcBorders>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(in thousands)</w:t>
            </w:r>
          </w:p>
        </w:tc>
        <w:tc>
          <w:tcPr>
            <w:tcW w:w="520" w:type="dxa"/>
            <w:vAlign w:val="bottom"/>
          </w:tcPr>
          <w:p>
            <w:pPr>
              <w:spacing w:after="0"/>
              <w:rPr>
                <w:sz w:val="18"/>
                <w:szCs w:val="18"/>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7"/>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2023</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2023</w:t>
            </w:r>
          </w:p>
        </w:tc>
      </w:tr>
      <w:tr>
        <w:trPr>
          <w:trHeight w:val="210"/>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(in thousands, except share data)</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55,997</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74,396</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12"/>
        </w:trPr>
        <w:tc>
          <w:tcPr>
            <w:tcW w:w="7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166,198</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277,084</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341,593</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r>
      <w:tr>
        <w:trPr>
          <w:trHeight w:val="216"/>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12"/>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17,148</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16,427</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25,274</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w:t>
            </w: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85,978</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188,051</w:t>
            </w: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w:t>
            </w: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295,043</w:t>
            </w:r>
          </w:p>
        </w:tc>
      </w:tr>
      <w:tr>
        <w:trPr>
          <w:trHeight w:val="199"/>
        </w:trPr>
        <w:tc>
          <w:tcPr>
            <w:tcW w:w="7440" w:type="dxa"/>
            <w:vAlign w:val="bottom"/>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3"/>
        </w:trPr>
        <w:tc>
          <w:tcPr>
            <w:tcW w:w="2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Borders>
              <w:top w:val="single" w:sz="8" w:color="0000FF"/>
            </w:tcBorders>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42,748,931 and 42,501,150 shares issued</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403,735</w:t>
            </w: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224,845</w:t>
            </w: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(27,011)</w:t>
            </w: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Treasury stock, at cost, 6,500,331 and 6,436,204 shares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(61,506)</w:t>
            </w:r>
          </w:p>
        </w:tc>
      </w:tr>
      <w:tr>
        <w:trPr>
          <w:trHeight w:val="210"/>
        </w:trPr>
        <w:tc>
          <w:tcPr>
            <w:tcW w:w="74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540,488</w:t>
            </w:r>
          </w:p>
        </w:tc>
      </w:tr>
      <w:tr>
        <w:trPr>
          <w:trHeight w:val="212"/>
        </w:trPr>
        <w:tc>
          <w:tcPr>
            <w:tcW w:w="74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color w:val="auto"/>
              </w:rPr>
              <w:t>Three months ended December 31,</w:t>
            </w:r>
          </w:p>
        </w:tc>
      </w:tr>
      <w:tr>
        <w:trPr>
          <w:trHeight w:val="210"/>
        </w:trPr>
        <w:tc>
          <w:tcPr>
            <w:tcW w:w="8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r>
      <w:tr>
        <w:trPr>
          <w:trHeight w:val="210"/>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(15,449)</w:t>
            </w:r>
          </w:p>
        </w:tc>
      </w:tr>
      <w:tr>
        <w:trPr>
          <w:trHeight w:val="212"/>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07"/>
        </w:trPr>
        <w:tc>
          <w:tcPr>
            <w:tcW w:w="8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options and awards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r>
      <w:tr>
        <w:trPr>
          <w:trHeight w:val="212"/>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8,466</w:t>
            </w:r>
          </w:p>
        </w:tc>
      </w:tr>
      <w:tr>
        <w:trPr>
          <w:trHeight w:val="219"/>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r>
      <w:tr>
        <w:trPr>
          <w:trHeight w:val="210"/>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 for purchase of property, equipment, improvements and certain other intangible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on September 30,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501,513</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(60,973)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389,390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205,854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509,928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540,488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542,075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8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20"/>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September 30, 2023 (the "2023 Financial Statements"). We use the same accounting policies in preparing quarterly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annual financial statements. The quarterly results of operations are not necessarily indicative of the results to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EARNINGS (LOSS)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19"/>
                <w:szCs w:val="19"/>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46"/>
        </w:trPr>
        <w:tc>
          <w:tcPr>
            <w:tcW w:w="72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0"/>
        </w:trPr>
        <w:tc>
          <w:tcPr>
            <w:tcW w:w="7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 for basic net income per common share — weighted average shares outstanding</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35,608</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57"/>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Denominator for diluted net income per common share — adjusted weighted average shares</w:t>
            </w:r>
          </w:p>
        </w:tc>
        <w:tc>
          <w:tcPr>
            <w:tcW w:w="1240" w:type="dxa"/>
            <w:vAlign w:val="bottom"/>
            <w:tcBorders>
              <w:top w:val="single" w:sz="8" w:color="auto"/>
              <w:bottom w:val="single" w:sz="8" w:color="CCEEFF"/>
            </w:tcBorders>
          </w:tcPr>
          <w:p>
            <w:pPr>
              <w:spacing w:after="0"/>
              <w:rPr>
                <w:sz w:val="22"/>
                <w:szCs w:val="22"/>
                <w:color w:val="auto"/>
              </w:rPr>
            </w:pPr>
          </w:p>
        </w:tc>
        <w:tc>
          <w:tcPr>
            <w:tcW w:w="6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tcPr>
          <w:p>
            <w:pPr>
              <w:spacing w:after="0"/>
              <w:rPr>
                <w:sz w:val="22"/>
                <w:szCs w:val="22"/>
                <w:color w:val="auto"/>
              </w:rPr>
            </w:pPr>
          </w:p>
        </w:tc>
        <w:tc>
          <w:tcPr>
            <w:tcW w:w="6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55"/>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(loss) income per share calculation. For the three months ended December 31, 2023 and 2022, 1,563,857 and 234,365 shares outstanding were excluded,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SELECTED BALANCE SHEET DATA</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6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0" w:type="dxa"/>
            <w:vAlign w:val="bottom"/>
          </w:tcPr>
          <w:p>
            <w:pPr>
              <w:spacing w:after="0"/>
              <w:rPr>
                <w:sz w:val="1"/>
                <w:szCs w:val="1"/>
                <w:color w:val="auto"/>
              </w:rPr>
            </w:pPr>
          </w:p>
        </w:tc>
      </w:tr>
      <w:tr>
        <w:trPr>
          <w:trHeight w:val="22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74,396</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740" w:firstLine="8"/>
        <w:spacing w:after="0" w:line="430"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2023</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$6.2 million and $6.5 million for the three months ended December 31,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recorded on our condensed consolidated statements of operations within cost of sales and in general and administrative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2024 and the five succeeding fiscal years is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(nine months)</w:t>
            </w:r>
          </w:p>
        </w:tc>
        <w:tc>
          <w:tcPr>
            <w:tcW w:w="6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tcPr>
          <w:p>
            <w:pPr>
              <w:spacing w:after="0"/>
              <w:rPr>
                <w:sz w:val="19"/>
                <w:szCs w:val="19"/>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20" w:type="dxa"/>
            <w:vAlign w:val="bottom"/>
          </w:tcPr>
          <w:p>
            <w:pPr>
              <w:spacing w:after="0"/>
              <w:rPr>
                <w:sz w:val="20"/>
                <w:szCs w:val="20"/>
                <w:color w:val="auto"/>
              </w:rPr>
            </w:pPr>
          </w:p>
        </w:tc>
      </w:tr>
      <w:tr>
        <w:trPr>
          <w:trHeight w:val="859"/>
        </w:trPr>
        <w:tc>
          <w:tcPr>
            <w:tcW w:w="3500" w:type="dxa"/>
            <w:vAlign w:val="bottom"/>
          </w:tcPr>
          <w:p>
            <w:pPr>
              <w:spacing w:after="0"/>
              <w:rPr>
                <w:sz w:val="24"/>
                <w:szCs w:val="24"/>
                <w:color w:val="auto"/>
              </w:rPr>
            </w:pPr>
          </w:p>
        </w:tc>
        <w:tc>
          <w:tcPr>
            <w:tcW w:w="686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6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GOODWILL AND OTHER INTANGIBLE ASSETS, NET (CONTINUED)</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December 31, 2023</w:t>
            </w:r>
          </w:p>
        </w:tc>
        <w:tc>
          <w:tcPr>
            <w:tcW w:w="1200" w:type="dxa"/>
            <w:vAlign w:val="bottom"/>
            <w:tcBorders>
              <w:bottom w:val="single" w:sz="8" w:color="auto"/>
            </w:tcBorders>
          </w:tcPr>
          <w:p>
            <w:pPr>
              <w:spacing w:after="0"/>
              <w:rPr>
                <w:sz w:val="24"/>
                <w:szCs w:val="24"/>
                <w:color w:val="auto"/>
              </w:rPr>
            </w:pPr>
          </w:p>
        </w:tc>
      </w:tr>
      <w:tr>
        <w:trPr>
          <w:trHeight w:val="178"/>
        </w:trPr>
        <w:tc>
          <w:tcPr>
            <w:tcW w:w="12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4"/>
        </w:trPr>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Products &amp;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44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341,593</w:t>
            </w:r>
          </w:p>
        </w:tc>
      </w:tr>
      <w:tr>
        <w:trPr>
          <w:trHeight w:val="229"/>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December 31, 2023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IoT Products &amp; Services and IoT Solutions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Our IoT Products &amp; Services segment is structured to include four reporting units, each with a reporting manager: Cellular Routers, Console Servers, OEM Solutions and Infrastructure Management. Following our acquisition of Ventus in November 2021, we have two reporting units within IoT Solutions: SmartSense and Ventus. Each of these segments was tested individually for impairment during our annual impairment test completed in the third fiscal quarter of fiscal 2023.</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Digi conducted an analysis as of December 31, 2023 and concluded changes in market conditions from the time of the fiscal 2023 test, conducted as of June 30,2023, were not indicative of a reduction in fair value of any of our reporting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2023 Annual Impairment Test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2023, we had a total of $32.7 million of goodwill for the Enterprise Routers reporting unit, $57.1 million of goodwill for the Console Servers reporting unit, $64.6 million of goodwill for the OEM Solutions reporting unit, $20.4 million of goodwill for the Infrastructure Management reporting unit, $48.9 million of goodwill for the SmartSense reporting unit and $118.6 million of goodwill for the Ventus reporting unit. At June 30, 2023, the fair value of goodwill exceeded the carrying value for all six reporting units and no impairment was recorded.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Facility”),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 (CONTINUED)</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The initial borrowings were made at Term SOFR for a one-month interest period plus an applicable margin of 2.50%. Our weighted average interest rate for our Credit Facility was 7.96% as of December 31, 2023.</w:t>
      </w:r>
    </w:p>
    <w:p>
      <w:pPr>
        <w:spacing w:after="0" w:line="14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Facility commitment fee was 0.30% as of December 31, 2023. The Credit Facility is secured by substantially all of the property of Digi and its domestic subsidiaries.</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spacing w:after="0" w:line="1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Revolving Loan is due in a lump sum payment at maturity December 7, 2028, if any amounts are drawn. The fair value of the Revolving Loan approximated carrying value at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December 31, 2023 and September 30, 2023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on December 31,</w:t>
            </w:r>
          </w:p>
        </w:tc>
        <w:tc>
          <w:tcPr>
            <w:tcW w:w="120" w:type="dxa"/>
            <w:vAlign w:val="bottom"/>
          </w:tcPr>
          <w:p>
            <w:pPr>
              <w:spacing w:after="0"/>
              <w:rPr>
                <w:sz w:val="17"/>
                <w:szCs w:val="17"/>
                <w:color w:val="auto"/>
              </w:rPr>
            </w:pPr>
          </w:p>
        </w:tc>
        <w:tc>
          <w:tcPr>
            <w:tcW w:w="2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Balance on September 30,</w:t>
            </w:r>
          </w:p>
        </w:tc>
      </w:tr>
      <w:tr>
        <w:trPr>
          <w:trHeight w:val="239"/>
        </w:trPr>
        <w:tc>
          <w:tcPr>
            <w:tcW w:w="67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3"/>
        </w:trPr>
        <w:tc>
          <w:tcPr>
            <w:tcW w:w="6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188,051</w:t>
            </w: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SEGMENT INFORMATION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IoT Products &amp; Services is structured to include four operating segments, each with a segment manager. These four operating segments are Cellular Routers, Console Servers, OEM Solutions and Infrastructure Management. IoT Products &amp; Services derives revenue from the sale of connectivity products and solutions. These products and solutions include enclosed router devices in Cellular Routers, enclosed devices for edge computing and data center applications in Console Servers, chip modules in OEM Solutions and sensors in Infrastructure Management, as well as our cloud based remote manager application and extended support and monitoring of devices sold. IoT Solutions is comprised of two operating segments. These operating segments are SmartSense and Ventus. IoT Solutions derives revenue from the sale of monitoring and networking service solutions. These solutions include wireless condition-based monitoring services in SmartSense and Managed Network-as-a-Service ("MNaaS") in Ventus.</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CEO is our Chief Operating Decision Maker and reviews and makes business decisions using consolidated information such as operating income and gross profit.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62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5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3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8"/>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220" w:firstLine="8"/>
        <w:spacing w:after="0" w:line="282" w:lineRule="auto"/>
        <w:tabs>
          <w:tab w:leader="none" w:pos="1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these amounts are $1,105 and $1,512 of transfers of inventory to property plant and equipment for subscriber assets for the three months ended December 31,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jc w:val="center"/>
              <w:ind w:right="65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38"/>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SEGMENT INFORMATION (CONTINUED)</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20" w:type="dxa"/>
            <w:vAlign w:val="bottom"/>
          </w:tcPr>
          <w:p>
            <w:pPr>
              <w:spacing w:after="0"/>
              <w:rPr>
                <w:sz w:val="19"/>
                <w:szCs w:val="19"/>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384,018</w:t>
            </w:r>
          </w:p>
        </w:tc>
      </w:tr>
      <w:tr>
        <w:trPr>
          <w:trHeight w:val="229"/>
        </w:trPr>
        <w:tc>
          <w:tcPr>
            <w:tcW w:w="20" w:type="dxa"/>
            <w:vAlign w:val="bottom"/>
          </w:tcPr>
          <w:p>
            <w:pPr>
              <w:spacing w:after="0"/>
              <w:rPr>
                <w:sz w:val="19"/>
                <w:szCs w:val="19"/>
                <w:color w:val="auto"/>
              </w:rPr>
            </w:pPr>
          </w:p>
        </w:tc>
        <w:tc>
          <w:tcPr>
            <w:tcW w:w="7800" w:type="dxa"/>
            <w:vAlign w:val="bottom"/>
            <w:gridSpan w:val="2"/>
          </w:tcPr>
          <w:p>
            <w:pPr>
              <w:jc w:val="center"/>
              <w:ind w:right="6540"/>
              <w:spacing w:after="0"/>
              <w:rPr>
                <w:sz w:val="20"/>
                <w:szCs w:val="20"/>
                <w:color w:val="auto"/>
              </w:rPr>
            </w:pPr>
            <w:r>
              <w:rPr>
                <w:rFonts w:ascii="Times New Roman" w:cs="Times New Roman" w:eastAsia="Times New Roman" w:hAnsi="Times New Roman"/>
                <w:sz w:val="18"/>
                <w:szCs w:val="18"/>
                <w:color w:val="auto"/>
                <w:w w:val="99"/>
              </w:rPr>
              <w:t>IoT Solutions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r>
      <w:tr>
        <w:trPr>
          <w:trHeight w:val="230"/>
        </w:trPr>
        <w:tc>
          <w:tcPr>
            <w:tcW w:w="20" w:type="dxa"/>
            <w:vAlign w:val="bottom"/>
          </w:tcPr>
          <w:p>
            <w:pPr>
              <w:spacing w:after="0"/>
              <w:rPr>
                <w:sz w:val="19"/>
                <w:szCs w:val="19"/>
                <w:color w:val="auto"/>
              </w:rPr>
            </w:pPr>
          </w:p>
        </w:tc>
        <w:tc>
          <w:tcPr>
            <w:tcW w:w="7800" w:type="dxa"/>
            <w:vAlign w:val="bottom"/>
            <w:gridSpan w:val="2"/>
            <w:shd w:val="clear" w:color="auto" w:fill="CCEEFF"/>
          </w:tcPr>
          <w:p>
            <w:pPr>
              <w:jc w:val="center"/>
              <w:ind w:right="6560"/>
              <w:spacing w:after="0"/>
              <w:rPr>
                <w:sz w:val="20"/>
                <w:szCs w:val="20"/>
                <w:color w:val="auto"/>
              </w:rPr>
            </w:pPr>
            <w:r>
              <w:rPr>
                <w:rFonts w:ascii="Times New Roman" w:cs="Times New Roman" w:eastAsia="Times New Roman" w:hAnsi="Times New Roman"/>
                <w:sz w:val="18"/>
                <w:szCs w:val="18"/>
                <w:color w:val="auto"/>
                <w:w w:val="99"/>
              </w:rPr>
              <w:t>Unallocated*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w:t>
            </w:r>
          </w:p>
        </w:tc>
      </w:tr>
      <w:tr>
        <w:trPr>
          <w:trHeight w:val="223"/>
        </w:trPr>
        <w:tc>
          <w:tcPr>
            <w:tcW w:w="20" w:type="dxa"/>
            <w:vAlign w:val="bottom"/>
          </w:tcPr>
          <w:p>
            <w:pPr>
              <w:spacing w:after="0"/>
              <w:rPr>
                <w:sz w:val="19"/>
                <w:szCs w:val="19"/>
                <w:color w:val="auto"/>
              </w:rPr>
            </w:pPr>
          </w:p>
        </w:tc>
        <w:tc>
          <w:tcPr>
            <w:tcW w:w="7800" w:type="dxa"/>
            <w:vAlign w:val="bottom"/>
            <w:gridSpan w:val="2"/>
          </w:tcPr>
          <w:p>
            <w:pPr>
              <w:jc w:val="center"/>
              <w:ind w:right="6520"/>
              <w:spacing w:after="0"/>
              <w:rPr>
                <w:sz w:val="20"/>
                <w:szCs w:val="20"/>
                <w:color w:val="auto"/>
              </w:rPr>
            </w:pPr>
            <w:r>
              <w:rPr>
                <w:rFonts w:ascii="Times New Roman" w:cs="Times New Roman" w:eastAsia="Times New Roman" w:hAnsi="Times New Roman"/>
                <w:sz w:val="18"/>
                <w:szCs w:val="18"/>
                <w:color w:val="auto"/>
                <w:w w:val="99"/>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835,531</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7. REVENUE</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$16.7 million and $16.6 million as of December 31, 2023 and September 30, 2023, respectively, are included in property, equipment and improvements, net. Depreciation expense for these subscriber assets, which is included in cost of sales, was $1.0 million and $0.9 million for the three months ended December 31, 2023 and 2022, respectively. We depreciate the cost of this equipment over its useful life.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December 31, 2023 and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REVENUE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$35.0 million and $23.0 million at December 31, 2023 and 2022, respectively.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were contract liability balances of $27.9 million and $21.6 million balances as of September 30, 2023 and 2022. Of these balances, Digi recognized $7.4 million and $6.1 million as revenue in the three months ended December 31,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$156.9 million of remaining performance obligations on contracts with an original duration of one year or more. We expect to recognize revenue on approximately $67.5 million of remaining performance obligations over the next 12 months. We expect to recognize revenue from the remaining performance obligations over a range of two to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INCOME TAXES</w:t>
      </w:r>
    </w:p>
    <w:p>
      <w:pPr>
        <w:spacing w:after="0" w:line="17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Our income tax benefit was $0.2 million for the three months ended December 31, 2023. Included in this was a net tax liability of $0.2 million discretely related to the three months ended December 31, 2023. This liability primarily was the result of book stock compensation in excess of recognized tax benefits.</w:t>
      </w:r>
    </w:p>
    <w:p>
      <w:pPr>
        <w:spacing w:after="0" w:line="136"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as there are no open audits during the period. We may record other benefits or expenses in the future that are specific to a particular quarter such as expiration of statutes of limitation, the completion of tax audits, or legislation that is enacted in both U.S. and foreign jurisdictions.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2"/>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2023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December 31, 2023 that, if recognized, would affect our effective tax rate was $3.0 million, after considering the impact of interest and deferred benefit items. We expect that the total amount of unrecognized tax benefits will decrease by approximately $0.4 million over the next 12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PRODUCT WARRANTY OBLIGATION</w:t>
      </w:r>
    </w:p>
    <w:p>
      <w:pPr>
        <w:spacing w:after="0" w:line="14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The following tables summarizes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made</w:t>
            </w:r>
          </w:p>
        </w:tc>
        <w:tc>
          <w:tcPr>
            <w:tcW w:w="37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38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spacing w:after="0" w:line="1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0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0"/>
        </w:trPr>
        <w:tc>
          <w:tcPr>
            <w:tcW w:w="2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8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0"/>
        </w:trPr>
        <w:tc>
          <w:tcPr>
            <w:tcW w:w="7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December 31, 2023, the weighted average remaining lease term of our operating leases was 6.3 years and the weighted average discount rate for these leases was 4.5%.</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 (CONTINUED)</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December 31, 2023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(nine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16,549</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COMMITMENTS AND CONTINGENCIES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Data Logger Solutions, LLC ("Data Loggers") brought suit in Delaware Superior Court against us and our subsidiary Digi SmartSense, LLC in October, 2020. The suit alleges that Data Loggers has not been paid certain commissions it believes it is owed and will continue to be owed under a Reseller Agreement entered between Data Loggers and TempAlert. SmartSense is the successor of interest of TempAlert and terminated the Reseller Agreement in 2019. Data Loggers claims it is entitled to actual, speculative and punitive damages in connection with its allegations. A trial is scheduled to commence in February 2024. We intend to defend the matter vigorously; however, there can be no assurance that we will be successful in such defense. We are unable to estimate the total costs to defend the matter or the potential liability to us in the event that we are not successful in our defense.</w:t>
      </w:r>
    </w:p>
    <w:p>
      <w:pPr>
        <w:spacing w:after="0" w:line="14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matters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Stock-based awards granted in the first fiscal quarter of 2024 and 2023 were granted under the amended and restated 2021 Omnibus Incentive Plan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approximately 1,881,637 shares available for future grants under the 2021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the exercise of stock options was $0.2 million and $0.9 million for the three months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three months ended December 31, 2023 and 2022, our employees forfeited 87,792 shares and 71,951 shares, respectively, in order to satisfy withholding tax obligations of $2.1 million and $3.0 million, respectively.</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$0.5 million and $0.6 million for the three months ended December 31, 2023 and 2022, respectively. Pursuant to the ESPP, 23,665 and 19,683 common shares were issued to employees during the three months ended December 31, 2023 and 2022, respectively. Shares are issued under the ESPP from treasury stock. As of December 31, 2023, 446,562 common shares were available for future issuances under the ESPP.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3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$26.00 as of December 31, 2023, which would have been received by the option holders had all option holders exercised their options as of that date.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the three months ended December 31, 2023 and 2023 was $0.4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$12.44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 - 4.68%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 - 3.98%</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cost related to non-vested stock options was $4.1 million and the related weighted average period over which it is expected to be recognized is approximately 1.5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and performance stock units as of December 31, 2023 and changes during the three months then ended (in thousands, except per common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bottom w:val="single" w:sz="8" w:color="auto"/>
            </w:tcBorders>
          </w:tcPr>
          <w:p>
            <w:pPr>
              <w:spacing w:after="0"/>
              <w:rPr>
                <w:sz w:val="20"/>
                <w:szCs w:val="20"/>
                <w:color w:val="auto"/>
              </w:rPr>
            </w:pPr>
          </w:p>
        </w:tc>
      </w:tr>
      <w:tr>
        <w:trPr>
          <w:trHeight w:val="169"/>
        </w:trPr>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 Grant</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43"/>
        </w:trPr>
        <w:tc>
          <w:tcPr>
            <w:tcW w:w="3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cost related to non-vested restricted stock units and performance stock units was $24.2 million and $1.4 million, respectively. The related weighted average period over which these costs are expected to be recognized was approximately 2.6 years and 0.8 years,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2023,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"anticipate," "assume," "believe," "continue," "estimate," "expect," "intend," "may," "plan," "potential," "project," "should," "target,"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interest expense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policies of governments globally as well as present concerns about a potential recession,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risks related to cybersecurity, risks arising from the present wars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2023, subsequent filings, as well as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estimates was provided in the Management's Discussion and Analysis of Financial Condition and Results of Operations section of our Annual Report on Form 10-K for the fiscal year ended September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our key operating objectives include:</w:t>
      </w:r>
    </w:p>
    <w:p>
      <w:pPr>
        <w:spacing w:after="0" w:line="158" w:lineRule="exact"/>
        <w:rPr>
          <w:sz w:val="20"/>
          <w:szCs w:val="20"/>
          <w:color w:val="auto"/>
        </w:rPr>
      </w:pPr>
    </w:p>
    <w:p>
      <w:pPr>
        <w:ind w:left="660" w:right="100" w:hanging="328"/>
        <w:spacing w:after="0" w:line="24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Annualized Recurring Revenue ("ARR"), which provides more predictable and higher margin revenue; and</w:t>
      </w:r>
    </w:p>
    <w:p>
      <w:pPr>
        <w:spacing w:after="0" w:line="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customer service across our businesses.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first quarter of fiscal 2024 that we feel are most important in these evaluations, with comparisons to the first quarter of fiscal 2023:</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$106 million, a decrease of 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$61 million, a decrease of 1%.</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Gross profit margin was 57.6%, an increase of 130 basis points.</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 million, compared to net income of $6 million.</w:t>
      </w:r>
    </w:p>
    <w:p>
      <w:pPr>
        <w:spacing w:after="0" w:line="157" w:lineRule="exact"/>
        <w:rPr>
          <w:rFonts w:ascii="Times New Roman" w:cs="Times New Roman" w:eastAsia="Times New Roman" w:hAnsi="Times New Roman"/>
          <w:sz w:val="18"/>
          <w:szCs w:val="18"/>
          <w:color w:val="auto"/>
        </w:rPr>
      </w:pPr>
    </w:p>
    <w:p>
      <w:pPr>
        <w:ind w:left="660" w:right="30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Net loss per diluted share was $0.08, driven by the $0.26 impact of the term B debt issuance cost write off, compared to net income per diluted share of $0.16.</w:t>
      </w:r>
    </w:p>
    <w:p>
      <w:pPr>
        <w:spacing w:after="0" w:line="91" w:lineRule="exact"/>
        <w:rPr>
          <w:rFonts w:ascii="Arial" w:cs="Arial" w:eastAsia="Arial" w:hAnsi="Arial"/>
          <w:sz w:val="22"/>
          <w:szCs w:val="22"/>
          <w:color w:val="auto"/>
        </w:rPr>
      </w:pPr>
    </w:p>
    <w:p>
      <w:pPr>
        <w:ind w:left="660" w:right="3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$17.6 million, or $0.48 per diluted share, compared to $17.8 million, or $0.48 per diluted share.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$23 million, or 22.0% of revenue, compared to $23 million or 21.4% of revenue.</w:t>
      </w:r>
    </w:p>
    <w:p>
      <w:pPr>
        <w:spacing w:after="0" w:line="1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$108 million at quarter end, an increase of 13%.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color w:val="auto"/>
                <w:w w:val="99"/>
              </w:rPr>
              <w:t>Three months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incr.</w:t>
            </w: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(decr.)</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43.7</w:t>
            </w:r>
          </w:p>
        </w:tc>
        <w:tc>
          <w:tcPr>
            <w:tcW w:w="130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13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c>
          <w:tcPr>
            <w:tcW w:w="130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color w:val="auto"/>
                <w:w w:val="99"/>
              </w:rPr>
              <w:t>Three months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34"/>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-334010</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-633730</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hanging="196"/>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w:t>
      </w:r>
    </w:p>
    <w:p>
      <w:pPr>
        <w:spacing w:after="0" w:line="3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(2.7)%</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(3.6)</w:t>
      </w:r>
    </w:p>
    <w:p>
      <w:pPr>
        <w:spacing w:after="0" w:line="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w:t>
      </w:r>
    </w:p>
    <w:p>
      <w:pPr>
        <w:spacing w:after="0" w:line="697" w:lineRule="exact"/>
        <w:rPr>
          <w:sz w:val="20"/>
          <w:szCs w:val="20"/>
          <w:color w:val="auto"/>
        </w:rPr>
      </w:pPr>
    </w:p>
    <w:p>
      <w:pPr>
        <w:sectPr>
          <w:pgSz w:w="11900" w:h="16838" w:orient="portrait"/>
          <w:cols w:equalWidth="0" w:num="2">
            <w:col w:w="10000" w:space="360"/>
            <w:col w:w="860"/>
          </w:cols>
          <w:pgMar w:left="320" w:top="297"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IoT Products &amp; Services revenue decreased 2.7% for the three months ended December 31, 2023, as compared to the same period in the prior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decreases in sales volume of Console Server and Cellular products, partially offset by growth in sales of OEM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IoT Solutions revenue decreased 3.6% for the three months ended December 31, 2023, as compared to the same period in the prior fiscal year. This decrease was primarily driven by one-time revenue reductions in Ventus, partially offset by increases in sales volume in SmartSense.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ARR was $108 million as of December 31, 2023, compared to $96 million as of December 31, 2022. IoT Products &amp; Services ARR was $23 million as of December 31, 2023, compared to $14 million as of December 31, 2022. IoT Solutions ARR was $85 million as of December 31, 2023, compared to $82 million as of December 31,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760" w:type="dxa"/>
            <w:vAlign w:val="bottom"/>
            <w:tcBorders>
              <w:bottom w:val="single" w:sz="8" w:color="auto"/>
            </w:tcBorders>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Basis point</w:t>
            </w: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 (decr.)</w:t>
            </w: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45.4 %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47,785</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43.7 %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54.6 %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56.3 %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IoT Products &amp; Services gross profit margin decreased 110 basis points for the three months ended December 31, 2023 as compared to the same period in the prior fiscal year. This decrease was driven primarily by decreased volume in Console Server, partially offset by increased sales and higher margin mix in OEM.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950 basis points for the three months ended December 31, 2023 as compared to the same period in the prior fiscal year. This increase was primarily the result of increased revenue and margins in SmartSense.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6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3"/>
              </w:rPr>
              <w:t>%</w:t>
            </w: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30"/>
              <w:spacing w:after="0" w:line="156" w:lineRule="exact"/>
              <w:rPr>
                <w:sz w:val="20"/>
                <w:szCs w:val="20"/>
                <w:color w:val="auto"/>
              </w:rPr>
            </w:pPr>
            <w:r>
              <w:rPr>
                <w:rFonts w:ascii="Times New Roman" w:cs="Times New Roman" w:eastAsia="Times New Roman" w:hAnsi="Times New Roman"/>
                <w:sz w:val="18"/>
                <w:szCs w:val="18"/>
                <w:color w:val="auto"/>
                <w:w w:val="98"/>
              </w:rPr>
              <w:t>incr.</w:t>
            </w: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incr.</w:t>
            </w:r>
          </w:p>
        </w:tc>
      </w:tr>
      <w:tr>
        <w:trPr>
          <w:trHeight w:val="203"/>
        </w:trPr>
        <w:tc>
          <w:tcPr>
            <w:tcW w:w="20" w:type="dxa"/>
            <w:vAlign w:val="bottom"/>
          </w:tcPr>
          <w:p>
            <w:pPr>
              <w:spacing w:after="0"/>
              <w:rPr>
                <w:sz w:val="17"/>
                <w:szCs w:val="17"/>
                <w:color w:val="auto"/>
              </w:rPr>
            </w:pPr>
          </w:p>
        </w:tc>
        <w:tc>
          <w:tcPr>
            <w:tcW w:w="38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in thousands)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gridSpan w:val="3"/>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6"/>
              </w:rPr>
              <w:t>(decr.)</w:t>
            </w: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(decr.)</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3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2.8 %</w:t>
            </w: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13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3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$0.6 million decrease in operating expenses in the first quarter of fiscal 2024 from the first quarter of fiscal 2023 was primarily the result of decreases in general and administrative expenses, partially offset by increases in sales and marketing and research and development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220" w:type="dxa"/>
            <w:vAlign w:val="bottom"/>
          </w:tcPr>
          <w:p>
            <w:pPr>
              <w:spacing w:after="0"/>
              <w:rPr>
                <w:sz w:val="24"/>
                <w:szCs w:val="2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incr.</w:t>
            </w:r>
          </w:p>
        </w:tc>
        <w:tc>
          <w:tcPr>
            <w:tcW w:w="100" w:type="dxa"/>
            <w:vAlign w:val="bottom"/>
          </w:tcPr>
          <w:p>
            <w:pPr>
              <w:spacing w:after="0"/>
              <w:rPr>
                <w:sz w:val="24"/>
                <w:szCs w:val="24"/>
                <w:color w:val="auto"/>
              </w:rPr>
            </w:pPr>
          </w:p>
        </w:tc>
        <w:tc>
          <w:tcPr>
            <w:tcW w:w="1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incr.</w:t>
            </w: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(decr.)</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(decr.)</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00" w:lineRule="exact"/>
        <w:rPr>
          <w:sz w:val="20"/>
          <w:szCs w:val="20"/>
          <w:color w:val="auto"/>
        </w:rPr>
      </w:pPr>
    </w:p>
    <w:p>
      <w:pPr>
        <w:ind w:right="1960"/>
        <w:spacing w:after="0" w:line="461" w:lineRule="auto"/>
        <w:rPr>
          <w:sz w:val="20"/>
          <w:szCs w:val="20"/>
          <w:color w:val="auto"/>
        </w:rPr>
      </w:pPr>
      <w:r>
        <w:rPr>
          <w:rFonts w:ascii="Times New Roman" w:cs="Times New Roman" w:eastAsia="Times New Roman" w:hAnsi="Times New Roman"/>
          <w:sz w:val="18"/>
          <w:szCs w:val="18"/>
          <w:color w:val="auto"/>
        </w:rPr>
        <w:t>Drivers for the changes in operating income for the periods presented are described above in the revenue and gross profit details. OTHER EXPENSE,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other expenses, net and other expenses, net as a percentage of total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3"/>
              </w:rPr>
              <w:t>%</w:t>
            </w:r>
          </w:p>
        </w:tc>
      </w:tr>
      <w:tr>
        <w:trPr>
          <w:trHeight w:val="164"/>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30"/>
              <w:spacing w:after="0" w:line="164" w:lineRule="exact"/>
              <w:rPr>
                <w:sz w:val="20"/>
                <w:szCs w:val="20"/>
                <w:color w:val="auto"/>
              </w:rPr>
            </w:pPr>
            <w:r>
              <w:rPr>
                <w:rFonts w:ascii="Times New Roman" w:cs="Times New Roman" w:eastAsia="Times New Roman" w:hAnsi="Times New Roman"/>
                <w:sz w:val="18"/>
                <w:szCs w:val="18"/>
                <w:color w:val="auto"/>
                <w:w w:val="98"/>
              </w:rPr>
              <w:t>incr.</w:t>
            </w:r>
          </w:p>
        </w:tc>
        <w:tc>
          <w:tcPr>
            <w:tcW w:w="100" w:type="dxa"/>
            <w:vAlign w:val="bottom"/>
          </w:tcPr>
          <w:p>
            <w:pPr>
              <w:spacing w:after="0"/>
              <w:rPr>
                <w:sz w:val="14"/>
                <w:szCs w:val="14"/>
                <w:color w:val="auto"/>
              </w:rPr>
            </w:pPr>
          </w:p>
        </w:tc>
        <w:tc>
          <w:tcPr>
            <w:tcW w:w="12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incr.</w:t>
            </w:r>
          </w:p>
        </w:tc>
      </w:tr>
      <w:tr>
        <w:trPr>
          <w:trHeight w:val="194"/>
        </w:trPr>
        <w:tc>
          <w:tcPr>
            <w:tcW w:w="20" w:type="dxa"/>
            <w:vAlign w:val="bottom"/>
          </w:tcPr>
          <w:p>
            <w:pPr>
              <w:spacing w:after="0"/>
              <w:rPr>
                <w:sz w:val="16"/>
                <w:szCs w:val="16"/>
                <w:color w:val="auto"/>
              </w:rPr>
            </w:pPr>
          </w:p>
        </w:tc>
        <w:tc>
          <w:tcPr>
            <w:tcW w:w="3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in thousands)</w:t>
            </w:r>
          </w:p>
        </w:tc>
        <w:tc>
          <w:tcPr>
            <w:tcW w:w="280" w:type="dxa"/>
            <w:vAlign w:val="bottom"/>
          </w:tcPr>
          <w:p>
            <w:pPr>
              <w:spacing w:after="0"/>
              <w:rPr>
                <w:sz w:val="16"/>
                <w:szCs w:val="16"/>
                <w:color w:val="auto"/>
              </w:rPr>
            </w:pPr>
          </w:p>
        </w:tc>
        <w:tc>
          <w:tcPr>
            <w:tcW w:w="1300" w:type="dxa"/>
            <w:vAlign w:val="bottom"/>
            <w:gridSpan w:val="3"/>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2022</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color w:val="auto"/>
                <w:w w:val="96"/>
              </w:rPr>
              <w:t>(decr.)</w:t>
            </w:r>
          </w:p>
        </w:tc>
        <w:tc>
          <w:tcPr>
            <w:tcW w:w="10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(decr.)</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Other expense, net, increased $9.5 million for the three months ended December 31, 2023, as compared to the same period in the prior fiscal year. This increase was driven by the debt issuance cost expense realized upon the extinguishment of our prior credit facility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condensed consolidated financial statements for discussion of income taxes.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w w:val="98"/>
              </w:rPr>
              <w:t>% of total</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bottom w:val="single" w:sz="8" w:color="auto"/>
            </w:tcBorders>
            <w:shd w:val="clear" w:color="auto" w:fill="CCEEFF"/>
          </w:tcPr>
          <w:p>
            <w:pPr>
              <w:spacing w:after="0"/>
              <w:rPr>
                <w:sz w:val="21"/>
                <w:szCs w:val="21"/>
                <w:color w:val="auto"/>
              </w:rPr>
            </w:pP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auto"/>
            </w:tcBorders>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expense</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0" w:type="dxa"/>
            <w:vAlign w:val="bottom"/>
            <w:gridSpan w:val="10"/>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0" w:type="dxa"/>
            <w:vAlign w:val="bottom"/>
            <w:gridSpan w:val="10"/>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Adjusted Net Income and Adjusted Net Income per Diluted Share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00" w:type="dxa"/>
            <w:vAlign w:val="bottom"/>
            <w:gridSpan w:val="6"/>
          </w:tcPr>
          <w:p>
            <w:pPr>
              <w:jc w:val="center"/>
              <w:ind w:left="357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jc w:val="center"/>
              <w:ind w:right="20"/>
              <w:spacing w:after="0"/>
              <w:rPr>
                <w:sz w:val="20"/>
                <w:szCs w:val="20"/>
                <w:color w:val="auto"/>
              </w:rPr>
            </w:pPr>
            <w:r>
              <w:rPr>
                <w:rFonts w:ascii="Times New Roman" w:cs="Times New Roman" w:eastAsia="Times New Roman" w:hAnsi="Times New Roman"/>
                <w:sz w:val="18"/>
                <w:szCs w:val="18"/>
                <w:color w:val="auto"/>
                <w:w w:val="99"/>
              </w:rPr>
              <w:t>Three months ended December 31,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and net (loss) income per diluted share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from the above adjustments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Discrete tax (benefits) expenses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and adjusted net income per diluted share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17,791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36,715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36,859</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2024 and fiscal 2023 based on adjusted net income.</w:t>
      </w:r>
    </w:p>
    <w:p>
      <w:pPr>
        <w:spacing w:after="0" w:line="23" w:lineRule="exact"/>
        <w:rPr>
          <w:rFonts w:ascii="Times New Roman" w:cs="Times New Roman" w:eastAsia="Times New Roman" w:hAnsi="Times New Roman"/>
          <w:sz w:val="16"/>
          <w:szCs w:val="16"/>
          <w:color w:val="auto"/>
        </w:rPr>
      </w:pPr>
    </w:p>
    <w:p>
      <w:pPr>
        <w:ind w:left="340" w:right="300" w:hanging="332"/>
        <w:spacing w:after="0" w:line="25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December 31, 2023 and 2022, discrete tax (benefit) expense primarily are a result of changes in excess tax benefits recognized on stock compensation.</w:t>
      </w: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may use the proceeds in the future for general corporate purposes.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three months ended December 31, 2023 and 2022 are summarized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December 31,</w:t>
            </w:r>
          </w:p>
        </w:tc>
      </w:tr>
      <w:tr>
        <w:trPr>
          <w:trHeight w:val="22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19"/>
                <w:szCs w:val="19"/>
                <w:color w:val="auto"/>
              </w:rPr>
            </w:pP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30"/>
        </w:trPr>
        <w:tc>
          <w:tcPr>
            <w:tcW w:w="7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increased $16.0 million primarily as a result of:</w:t>
      </w:r>
    </w:p>
    <w:p>
      <w:pPr>
        <w:spacing w:after="0" w:line="200" w:lineRule="exact"/>
        <w:rPr>
          <w:sz w:val="20"/>
          <w:szCs w:val="20"/>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net operating assets for the first quarter of fiscal 2024 compared to a $15.4 million increase in the first quarter of fiscal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$9.7 million debt issuance cost write-off included in net loss in the first quarter of fiscal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$8.8 million decrease in net income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$1.2 million increase in deferred income tax benefit.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decreased $0.7 million primarily as a result of:</w:t>
      </w:r>
    </w:p>
    <w:p>
      <w:pPr>
        <w:spacing w:after="0" w:line="20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purchases of property, equipment, improvements and certain other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 increased $14.5 million primarily as a result of:</w:t>
      </w:r>
    </w:p>
    <w:p>
      <w:pPr>
        <w:spacing w:after="0" w:line="187" w:lineRule="exact"/>
        <w:rPr>
          <w:sz w:val="20"/>
          <w:szCs w:val="20"/>
          <w:color w:val="auto"/>
        </w:rPr>
      </w:pPr>
    </w:p>
    <w:p>
      <w:pPr>
        <w:jc w:val="both"/>
        <w:ind w:left="660" w:right="3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payments of $233 million in the first quarter of fiscal 2024, including $213.6 million to retire our prior credit facility, an early payment of $1.9 million against our prior credit facility and a payment of $17.5 million against our new credit facility, compared to debt payments of $4.4 million in the first quarter of fiscal 2023,</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issuance costs,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decreases in proceeds from stock option plan and employee stock purchase plan transactions.</w:t>
      </w:r>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of $215.4 million from the issuance of a new credit facility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taxes paid for net share settlement of share-based payment options and awards.</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Payments due by fiscal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operating leases included above primarily relate to office space. The table above does not include possible payments for uncertain tax positions. Our reserve for uncertain tax positions, including accrued interest and penalties, was $3.1 million as of December 31, 2023.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We are exposed to market risks related to fluctuations in interest rates on amounts borrowed under the Credit Facility. As of December 31, 2023, we had $196.0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0.50%, or (3) one-month SOFR plus 1.00%. The applicable margin for loans under the Credit Facility is in a range of 1.75 to 2.75% for Term SOFR loans and 0.75% to 1.75% for base rate loans, depending on Digi’s total net leverage ratio. The initial borrowings were made at Term SOFR for a one-month interest period plus an applicable margin of 2.50%. Our weighted average interest rate for our Credit Facility as of December 31, 2023 was 7.96%.</w:t>
      </w:r>
    </w:p>
    <w:p>
      <w:pPr>
        <w:spacing w:after="0" w:line="14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Digi bases the interest period election described above on an assessment of the interest rate environment conducted on a monthly basis. Based on the balance sheet position for the Revolving Loan at December 31, 2023, the annualized effect of a 25 basis point change in interest rates would increase or decrease our interest expense by $0.5 million. For additional information,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Australian Dollar and Canadian Dollar to the U.S. Dollar during the first three months of fiscal 2024 would have resulted in a 1.5% increase or decrease in stockholders' equity due to 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from those previously disclosed in Item 1A of Part I of our Annual Report on Form 10-K for the year ended September 30, 2023.</w:t>
      </w:r>
    </w:p>
    <w:p>
      <w:pPr>
        <w:spacing w:after="0" w:line="173"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i w:val="1"/>
          <w:iCs w:val="1"/>
          <w:color w:val="auto"/>
        </w:rPr>
        <w:t>Our operations and products are subject to various cybersecurity risks. These risks are particularly acute in cloud-based technologies that we and other third parties operate that form a part of our solutions or that we rely on to conduct our operations. These risks may increase our costs and could damage our brand and reputation.</w:t>
      </w:r>
    </w:p>
    <w:p>
      <w:pPr>
        <w:spacing w:after="0" w:line="190"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As we continue to direct a substantial portion of our sales and development efforts toward broader based solutions, such as SmartSense by Digi, the Digi Remote Manager and Ventus offerings, we expect to store, convey and potentially process significant amounts of data produced by devices. We have completed a number of acquisitions in recent years and have inherited a range of different systems that store, convey and potentially process data and in some cases we may be delayed or choose not to integrate these systems into similar systems used in other parts of our business. Many of the business applications that we rely upon to operate our business now exist within cloud platforms that are managed by third parties. Further, as our products and solutions are used by customers across a broad range of industries, some of our customers may be subject to heightened risk of being targeted for cyber security incidents due to the nature of their businesses and operations. These factors may add to the risk of breach by third parties.</w:t>
      </w:r>
    </w:p>
    <w:p>
      <w:pPr>
        <w:spacing w:after="0" w:line="21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 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or otherwise associated with our operations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21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 continues to increase and worldwide laws and regulations concerning the protection of information continue to become more complex, the potential risks and costs of compliance to our business are expected to intensify.</w:t>
      </w:r>
    </w:p>
    <w:p>
      <w:pPr>
        <w:spacing w:after="0" w:line="208"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Our products operate and often are used in conjunction with third party products and components across a broad ecosystem. If there is a security vulnerability any of our products or any of these third party products or components, and if there is a security exploit targeting them, we could face increased costs, reduced revenue, liability claims or damage to our reputation or competitive position.</w:t>
      </w:r>
    </w:p>
    <w:p>
      <w:pPr>
        <w:spacing w:after="0" w:line="20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addition, cybersecurity is an issue that is becoming increasingly regulated. As regulations take effect or evolve, it is possible we may be unable to fully comply with these regulations. which could result in material adverse effects on our business.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first quarter of fiscal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89"/>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169"/>
        </w:trPr>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2"/>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3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12"/>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Form of (Executive) Performance Stock Unit Award Agreement (for grants under Digi International Inc.</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 xml:space="preserve">2021 Omnibus Incentive Plan) </w:t>
              </w:r>
              <w:r>
                <w:rPr>
                  <w:rFonts w:ascii="Times New Roman" w:cs="Times New Roman" w:eastAsia="Times New Roman" w:hAnsi="Times New Roman"/>
                  <w:sz w:val="18"/>
                  <w:szCs w:val="18"/>
                  <w:color w:val="000000"/>
                </w:rPr>
                <w:t>(3)</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2"/>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 xml:space="preserve">Transition and Separation Agreement with Radha Chavali, dated November 30, 2023 </w:t>
              </w:r>
            </w:hyperlink>
            <w:r>
              <w:rPr>
                <w:rFonts w:ascii="Times New Roman" w:cs="Times New Roman" w:eastAsia="Times New Roman" w:hAnsi="Times New Roman"/>
                <w:sz w:val="18"/>
                <w:szCs w:val="18"/>
                <w:color w:val="000000"/>
              </w:rPr>
              <w:t>(4)</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3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gridSpan w:val="12"/>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Credit Agreement dated December 7, 2023, by and among Digi International Inc. as the borrower, BMO</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vMerge w:val="restart"/>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40" w:type="dxa"/>
            <w:vAlign w:val="bottom"/>
            <w:gridSpan w:val="12"/>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Bank, N.A., as administrative and collateral agent, BMO Capital Markets Corp., BofA Securities, Inc. and</w:t>
              </w:r>
            </w:hyperlink>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MUFG Bank, Ltd., as joint lead arrangers and joint bookrunners, and other lenders from time-to-time party</w:t>
              </w:r>
            </w:hyperlink>
          </w:p>
        </w:tc>
        <w:tc>
          <w:tcPr>
            <w:tcW w:w="60" w:type="dxa"/>
            <w:vAlign w:val="bottom"/>
            <w:tcBorders>
              <w:bottom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700" w:type="dxa"/>
            <w:vAlign w:val="bottom"/>
            <w:gridSpan w:val="11"/>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 xml:space="preserve">thereto </w:t>
              </w:r>
              <w:r>
                <w:rPr>
                  <w:rFonts w:ascii="Times New Roman" w:cs="Times New Roman" w:eastAsia="Times New Roman" w:hAnsi="Times New Roman"/>
                  <w:sz w:val="18"/>
                  <w:szCs w:val="18"/>
                  <w:color w:val="000000"/>
                </w:rPr>
                <w:t>(5)</w:t>
              </w:r>
            </w:hyperlink>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6"/>
          </w:tcPr>
          <w:p>
            <w:pPr>
              <w:spacing w:after="0"/>
              <w:rPr>
                <w:sz w:val="22"/>
                <w:szCs w:val="22"/>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3"/>
          </w:tcPr>
          <w:p>
            <w:pPr>
              <w:spacing w:after="0"/>
              <w:rPr>
                <w:sz w:val="24"/>
                <w:szCs w:val="24"/>
                <w:color w:val="auto"/>
              </w:rPr>
            </w:pPr>
          </w:p>
        </w:tc>
        <w:tc>
          <w:tcPr>
            <w:tcW w:w="3140" w:type="dxa"/>
            <w:vAlign w:val="bottom"/>
            <w:gridSpan w:val="7"/>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25"/>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7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4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auto"/>
              </w:rPr>
              <w:t>ended December 31, 2023, as filed with the Security and Exchange Commission, formatted in iXBRL</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ind w:right="100"/>
        <w:spacing w:after="0" w:line="203" w:lineRule="auto"/>
        <w:rPr>
          <w:sz w:val="20"/>
          <w:szCs w:val="20"/>
          <w:color w:val="auto"/>
        </w:rPr>
      </w:pPr>
      <w:r>
        <w:rPr>
          <w:rFonts w:ascii="Times New Roman" w:cs="Times New Roman" w:eastAsia="Times New Roman" w:hAnsi="Times New Roman"/>
          <w:sz w:val="18"/>
          <w:szCs w:val="18"/>
          <w:color w:val="auto"/>
        </w:rPr>
        <w:t>(Inline eXtensible Business Reporting Language): (i) Condensed Consolidated Statements of Operations;</w:t>
      </w:r>
    </w:p>
    <w:p>
      <w:pPr>
        <w:ind w:left="1720" w:right="1640" w:hanging="7"/>
        <w:spacing w:after="0" w:line="223" w:lineRule="auto"/>
        <w:tabs>
          <w:tab w:leader="none" w:pos="19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Income; (iii) Condensed Consolidated Balance Sheets; (iv) Condensed Consolidated Statements of Cash Flows; (v) Condensed Consolidated Statements of Stockholders' Equity; and (vi) the Notes to the Condensed Consolidated Financial Statements.</w:t>
      </w:r>
    </w:p>
    <w:p>
      <w:pPr>
        <w:spacing w:after="0" w:line="227" w:lineRule="exact"/>
        <w:rPr>
          <w:sz w:val="20"/>
          <w:szCs w:val="20"/>
          <w:color w:val="auto"/>
        </w:rPr>
      </w:pPr>
    </w:p>
    <w:p>
      <w:pPr>
        <w:ind w:left="1720" w:right="2280" w:hanging="1095"/>
        <w:spacing w:after="0" w:line="237" w:lineRule="auto"/>
        <w:tabs>
          <w:tab w:leader="none" w:pos="1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December 31, 2023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the Company's Quarterly Report on Form 10-Q filed on August 4, 2023.</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filed on December 1, 2023.</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filed on December 11,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400"/>
          </w:cols>
          <w:pgMar w:left="320" w:top="121" w:right="11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December 31, 2023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 2024</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Roman"/>
      <w:start w:val="2"/>
    </w:lvl>
  </w:abstractNum>
  <w:abstractNum w:abstractNumId="17">
    <w:nsid w:val="2D1D5AE9"/>
    <w:multiLevelType w:val="hybridMultilevel"/>
    <w:lvl w:ilvl="0">
      <w:lvlJc w:val="left"/>
      <w:lvlText w:val="%1"/>
      <w:numFmt w:val="decimal"/>
      <w:start w:val="104"/>
    </w:lvl>
  </w:abstractNum>
  <w:abstractNum w:abstractNumId="18">
    <w:nsid w:val="6763845E"/>
    <w:multiLevelType w:val="hybridMultilevel"/>
    <w:lvl w:ilvl="0">
      <w:lvlJc w:val="left"/>
      <w:lvlText w:val="*"/>
      <w:numFmt w:val="bullet"/>
      <w:start w:val="1"/>
    </w:lvl>
    <w:lvl w:ilvl="1">
      <w:lvlJc w:val="left"/>
      <w:lvlText w:val="(%2)"/>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18" Type="http://schemas.openxmlformats.org/officeDocument/2006/relationships/hyperlink" Target="https://www.sec.gov/ix?doc=/Archives/edgar/data/854775/000085477522000028/dgii-20220930.htm" TargetMode="External"/><Relationship Id="rId45" Type="http://schemas.openxmlformats.org/officeDocument/2006/relationships/hyperlink" Target="http://www.sec.gov/Archives/edgar/data/854775/000110465920054438/tm2018116d1_ex3-1.htm" TargetMode="External"/><Relationship Id="rId46" Type="http://schemas.openxmlformats.org/officeDocument/2006/relationships/hyperlink" Target="https://www.sec.gov/Archives/edgar/data/854775/000085477523000011/dgiiex10bpsuagreement.htm" TargetMode="External"/><Relationship Id="rId47" Type="http://schemas.openxmlformats.org/officeDocument/2006/relationships/hyperlink" Target="https://www.sec.gov/Archives/edgar/data/854775/000110465923122740/tm2331915d1_ex10-1.htm" TargetMode="External"/><Relationship Id="rId48" Type="http://schemas.openxmlformats.org/officeDocument/2006/relationships/hyperlink" Target="https://www.sec.gov/Archives/edgar/data/854775/000110465923125045/tm23326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2024-02-02T09:26:54Z</dcterms:created>
  <dcterms:modified xsi:type="dcterms:W3CDTF">2024-02-02T09:26:54Z</dcterms:modified>
</cp:coreProperties>
</file>