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6" w:lineRule="exact"/>
        <w:rPr>
          <w:sz w:val="24"/>
          <w:szCs w:val="24"/>
          <w:color w:val="auto"/>
        </w:rPr>
      </w:pPr>
    </w:p>
    <w:p>
      <w:pPr>
        <w:ind w:left="440" w:hanging="351"/>
        <w:spacing w:after="0"/>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 (d)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September 30, 2021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4" w:lineRule="exact"/>
        <w:rPr>
          <w:sz w:val="24"/>
          <w:szCs w:val="24"/>
          <w:color w:val="auto"/>
        </w:rPr>
      </w:pPr>
    </w:p>
    <w:p>
      <w:pPr>
        <w:ind w:left="440" w:hanging="351"/>
        <w:spacing w:after="0"/>
        <w:tabs>
          <w:tab w:leader="none" w:pos="4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 (d) OF THE SECURITIES EXCHANGE ACT OF 1934</w:t>
      </w:r>
    </w:p>
    <w:p>
      <w:pPr>
        <w:spacing w:after="0" w:line="114" w:lineRule="exact"/>
        <w:rPr>
          <w:sz w:val="24"/>
          <w:szCs w:val="24"/>
          <w:color w:val="auto"/>
        </w:rPr>
      </w:pPr>
    </w:p>
    <w:tbl>
      <w:tblPr>
        <w:tblLayout w:type="fixed"/>
        <w:tblInd w:w="370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Arial" w:cs="Arial" w:eastAsia="Arial" w:hAnsi="Arial"/>
                <w:sz w:val="16"/>
                <w:szCs w:val="16"/>
                <w:color w:val="auto"/>
                <w:w w:val="95"/>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to</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58"/>
        </w:trPr>
        <w:tc>
          <w:tcPr>
            <w:tcW w:w="3480" w:type="dxa"/>
            <w:vAlign w:val="bottom"/>
            <w:gridSpan w:val="4"/>
          </w:tcPr>
          <w:p>
            <w:pPr>
              <w:ind w:left="680"/>
              <w:spacing w:after="0"/>
              <w:rPr>
                <w:sz w:val="20"/>
                <w:szCs w:val="20"/>
                <w:color w:val="auto"/>
              </w:rPr>
            </w:pPr>
            <w:r>
              <w:rPr>
                <w:rFonts w:ascii="Arial" w:cs="Arial" w:eastAsia="Arial" w:hAnsi="Arial"/>
                <w:sz w:val="16"/>
                <w:szCs w:val="16"/>
                <w:b w:val="1"/>
                <w:bCs w:val="1"/>
                <w:color w:val="auto"/>
              </w:rPr>
              <w:t>Commission file number: 001-34033</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63500</wp:posOffset>
            </wp:positionV>
            <wp:extent cx="102870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DIGI INTERNATIONAL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80" w:type="dxa"/>
            <w:vAlign w:val="bottom"/>
            <w:gridSpan w:val="2"/>
          </w:tcPr>
          <w:p>
            <w:pPr>
              <w:spacing w:after="0"/>
              <w:rPr>
                <w:sz w:val="18"/>
                <w:szCs w:val="18"/>
                <w:color w:val="auto"/>
              </w:rPr>
            </w:pPr>
          </w:p>
        </w:tc>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41-1532464</w:t>
            </w:r>
          </w:p>
        </w:tc>
      </w:tr>
      <w:tr>
        <w:trPr>
          <w:trHeight w:val="207"/>
        </w:trPr>
        <w:tc>
          <w:tcPr>
            <w:tcW w:w="5760" w:type="dxa"/>
            <w:vAlign w:val="bottom"/>
            <w:gridSpan w:val="3"/>
          </w:tcPr>
          <w:p>
            <w:pPr>
              <w:jc w:val="center"/>
              <w:ind w:right="2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338"/>
        </w:trPr>
        <w:tc>
          <w:tcPr>
            <w:tcW w:w="5760" w:type="dxa"/>
            <w:vAlign w:val="bottom"/>
            <w:gridSpan w:val="3"/>
          </w:tcPr>
          <w:p>
            <w:pPr>
              <w:ind w:left="1340"/>
              <w:spacing w:after="0"/>
              <w:rPr>
                <w:sz w:val="20"/>
                <w:szCs w:val="20"/>
                <w:color w:val="auto"/>
              </w:rPr>
            </w:pPr>
            <w:r>
              <w:rPr>
                <w:rFonts w:ascii="Arial" w:cs="Arial" w:eastAsia="Arial" w:hAnsi="Arial"/>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500" w:type="dxa"/>
            <w:vAlign w:val="bottom"/>
            <w:tcBorders>
              <w:bottom w:val="single" w:sz="8" w:color="auto"/>
            </w:tcBorders>
            <w:gridSpan w:val="2"/>
          </w:tcPr>
          <w:p>
            <w:pPr>
              <w:ind w:left="2160"/>
              <w:spacing w:after="0"/>
              <w:rPr>
                <w:sz w:val="20"/>
                <w:szCs w:val="20"/>
                <w:color w:val="auto"/>
              </w:rPr>
            </w:pPr>
            <w:r>
              <w:rPr>
                <w:rFonts w:ascii="Arial" w:cs="Arial" w:eastAsia="Arial" w:hAnsi="Arial"/>
                <w:sz w:val="16"/>
                <w:szCs w:val="16"/>
                <w:b w:val="1"/>
                <w:bCs w:val="1"/>
                <w:color w:val="auto"/>
              </w:rPr>
              <w:t>Hopkins Minnesota</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55343</w:t>
            </w:r>
          </w:p>
        </w:tc>
      </w:tr>
      <w:tr>
        <w:trPr>
          <w:trHeight w:val="207"/>
        </w:trPr>
        <w:tc>
          <w:tcPr>
            <w:tcW w:w="576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(Address of principal executive offices)</w:t>
            </w:r>
          </w:p>
        </w:tc>
        <w:tc>
          <w:tcPr>
            <w:tcW w:w="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912-3444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4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4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w w:val="92"/>
              </w:rPr>
              <w:t>Trading Symbol</w:t>
            </w:r>
          </w:p>
        </w:tc>
        <w:tc>
          <w:tcPr>
            <w:tcW w:w="100" w:type="dxa"/>
            <w:vAlign w:val="bottom"/>
          </w:tcPr>
          <w:p>
            <w:pPr>
              <w:spacing w:after="0"/>
              <w:rPr>
                <w:sz w:val="24"/>
                <w:szCs w:val="24"/>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440" w:type="dxa"/>
            <w:vAlign w:val="bottom"/>
            <w:gridSpan w:val="3"/>
          </w:tcPr>
          <w:p>
            <w:pPr>
              <w:jc w:val="center"/>
              <w:ind w:right="660"/>
              <w:spacing w:after="0"/>
              <w:rPr>
                <w:sz w:val="20"/>
                <w:szCs w:val="20"/>
                <w:color w:val="auto"/>
              </w:rPr>
            </w:pPr>
            <w:r>
              <w:rPr>
                <w:rFonts w:ascii="Arial" w:cs="Arial" w:eastAsia="Arial" w:hAnsi="Arial"/>
                <w:sz w:val="16"/>
                <w:szCs w:val="16"/>
                <w:color w:val="auto"/>
                <w:w w:val="91"/>
              </w:rPr>
              <w:t>Common Stock, par value $.01 per share</w:t>
            </w:r>
          </w:p>
        </w:tc>
        <w:tc>
          <w:tcPr>
            <w:tcW w:w="2720" w:type="dxa"/>
            <w:vAlign w:val="bottom"/>
            <w:gridSpan w:val="2"/>
          </w:tcPr>
          <w:p>
            <w:pPr>
              <w:jc w:val="center"/>
              <w:ind w:right="620"/>
              <w:spacing w:after="0"/>
              <w:rPr>
                <w:sz w:val="20"/>
                <w:szCs w:val="20"/>
                <w:color w:val="auto"/>
              </w:rPr>
            </w:pPr>
            <w:r>
              <w:rPr>
                <w:rFonts w:ascii="Arial" w:cs="Arial" w:eastAsia="Arial" w:hAnsi="Arial"/>
                <w:sz w:val="16"/>
                <w:szCs w:val="16"/>
                <w:color w:val="auto"/>
              </w:rPr>
              <w:t>DGII</w:t>
            </w:r>
          </w:p>
        </w:tc>
        <w:tc>
          <w:tcPr>
            <w:tcW w:w="40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17" w:lineRule="exact"/>
        <w:rPr>
          <w:sz w:val="24"/>
          <w:szCs w:val="24"/>
          <w:color w:val="auto"/>
        </w:rPr>
      </w:pPr>
    </w:p>
    <w:p>
      <w:pPr>
        <w:ind w:right="2600"/>
        <w:spacing w:after="0" w:line="23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p>
    <w:p>
      <w:pPr>
        <w:spacing w:after="0" w:line="19" w:lineRule="exact"/>
        <w:rPr>
          <w:sz w:val="24"/>
          <w:szCs w:val="24"/>
          <w:color w:val="auto"/>
        </w:rPr>
      </w:pPr>
    </w:p>
    <w:p>
      <w:pPr>
        <w:ind w:right="2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Arial" w:cs="Arial" w:eastAsia="Arial" w:hAnsi="Arial"/>
                <w:sz w:val="16"/>
                <w:szCs w:val="16"/>
                <w:color w:val="auto"/>
              </w:rPr>
              <w:t>Accelerated filer</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Non-accelerated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Arial" w:cs="Arial" w:eastAsia="Arial" w:hAnsi="Arial"/>
                <w:sz w:val="16"/>
                <w:szCs w:val="16"/>
                <w:color w:val="auto"/>
              </w:rPr>
              <w:t>Smaller reporting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26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640" w:type="dxa"/>
            <w:vAlign w:val="bottom"/>
          </w:tcPr>
          <w:p>
            <w:pPr>
              <w:ind w:left="820"/>
              <w:spacing w:after="0"/>
              <w:rPr>
                <w:sz w:val="20"/>
                <w:szCs w:val="20"/>
                <w:color w:val="auto"/>
              </w:rPr>
            </w:pPr>
            <w:r>
              <w:rPr>
                <w:rFonts w:ascii="Arial" w:cs="Arial" w:eastAsia="Arial" w:hAnsi="Arial"/>
                <w:sz w:val="16"/>
                <w:szCs w:val="16"/>
                <w:color w:val="auto"/>
              </w:rPr>
              <w:t>Emerging growth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1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8"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The aggregate market value of voting stock held by non-affiliates of the Registrant as of the last business day of the Registrant's most recently competed second fiscal quarter was $632,366,875 based on a closing price of $18.99 per common share as reported on the Nasdaq Global Select Market. (For purposes of this calculation all of the registrant's directors and executive officers are deemed affiliates of the registrant.)</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outstanding as of November 19, 2021: 34,405,201</w:t>
      </w:r>
    </w:p>
    <w:p>
      <w:pPr>
        <w:spacing w:after="0" w:line="10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for its 2021 Annual Meeting of Stockholders are incorporated by reference into Part III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6"/>
          </w:tcPr>
          <w:p>
            <w:pPr>
              <w:ind w:left="160"/>
              <w:spacing w:after="0"/>
              <w:rPr>
                <w:sz w:val="20"/>
                <w:szCs w:val="20"/>
                <w:color w:val="auto"/>
              </w:rPr>
            </w:pPr>
            <w:r>
              <w:rPr>
                <w:rFonts w:ascii="Arial" w:cs="Arial" w:eastAsia="Arial" w:hAnsi="Arial"/>
                <w:sz w:val="18"/>
                <w:szCs w:val="18"/>
                <w:color w:val="auto"/>
              </w:rPr>
              <w:t>INDEX</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120" w:type="dxa"/>
            <w:vAlign w:val="bottom"/>
            <w:gridSpan w:val="25"/>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11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120" w:type="dxa"/>
            <w:vAlign w:val="bottom"/>
            <w:gridSpan w:val="25"/>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ITEM 1. Business</w:t>
              </w:r>
            </w:hyperlink>
          </w:p>
        </w:tc>
        <w:tc>
          <w:tcPr>
            <w:tcW w:w="880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20" w:type="dxa"/>
            <w:vAlign w:val="bottom"/>
            <w:gridSpan w:val="25"/>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ITEM 1A. Risk Factors</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8</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14"/>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ITEM 1B. Unresolved Staff Comments</w:t>
              </w:r>
            </w:hyperlink>
          </w:p>
        </w:tc>
        <w:tc>
          <w:tcPr>
            <w:tcW w:w="7280" w:type="dxa"/>
            <w:vAlign w:val="bottom"/>
            <w:gridSpan w:val="11"/>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Properties</w:t>
              </w:r>
            </w:hyperlink>
          </w:p>
        </w:tc>
        <w:tc>
          <w:tcPr>
            <w:tcW w:w="7280" w:type="dxa"/>
            <w:vAlign w:val="bottom"/>
            <w:gridSpan w:val="11"/>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 Legal Proceedings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gridSpan w:val="12"/>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ITEM 4. Mine Safety Disclosures</w:t>
              </w:r>
            </w:hyperlink>
          </w:p>
        </w:tc>
        <w:tc>
          <w:tcPr>
            <w:tcW w:w="7680" w:type="dxa"/>
            <w:vAlign w:val="bottom"/>
            <w:gridSpan w:val="13"/>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466"/>
        </w:trPr>
        <w:tc>
          <w:tcPr>
            <w:tcW w:w="2440" w:type="dxa"/>
            <w:vAlign w:val="bottom"/>
            <w:tcBorders>
              <w:top w:val="single" w:sz="8" w:color="0000FF"/>
            </w:tcBorders>
            <w:gridSpan w:val="1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PART II.</w:t>
              </w:r>
            </w:hyperlink>
          </w:p>
        </w:tc>
        <w:tc>
          <w:tcPr>
            <w:tcW w:w="768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5. Market for Registrant's Common Equity, Related Stockholder Matters and Issuer Purchases of Equity Securities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11"/>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 6. Selected Financial Data</w:t>
              </w:r>
            </w:hyperlink>
          </w:p>
        </w:tc>
        <w:tc>
          <w:tcPr>
            <w:tcW w:w="6340" w:type="dxa"/>
            <w:vAlign w:val="bottom"/>
            <w:gridSpan w:val="13"/>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7. 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19"/>
          </w:tcPr>
          <w:p>
            <w:pPr>
              <w:spacing w:after="0"/>
              <w:rPr>
                <w:rFonts w:ascii="Arial" w:cs="Arial" w:eastAsia="Arial" w:hAnsi="Arial"/>
                <w:sz w:val="18"/>
                <w:szCs w:val="18"/>
                <w:color w:val="0000FF"/>
                <w:w w:val="93"/>
              </w:rPr>
            </w:pPr>
            <w:hyperlink w:anchor="page37">
              <w:r>
                <w:rPr>
                  <w:rFonts w:ascii="Arial" w:cs="Arial" w:eastAsia="Arial" w:hAnsi="Arial"/>
                  <w:sz w:val="18"/>
                  <w:szCs w:val="18"/>
                  <w:color w:val="0000FF"/>
                  <w:w w:val="93"/>
                </w:rPr>
                <w:t>ITEM 7A. Quantitative and Qualitative Disclosures About Market Risk</w:t>
              </w:r>
            </w:hyperlink>
          </w:p>
        </w:tc>
        <w:tc>
          <w:tcPr>
            <w:tcW w:w="1940" w:type="dxa"/>
            <w:vAlign w:val="bottom"/>
            <w:gridSpan w:val="2"/>
          </w:tcPr>
          <w:p>
            <w:pPr>
              <w:spacing w:after="0"/>
              <w:rPr>
                <w:sz w:val="18"/>
                <w:szCs w:val="18"/>
                <w:color w:val="auto"/>
              </w:rPr>
            </w:pPr>
          </w:p>
        </w:tc>
        <w:tc>
          <w:tcPr>
            <w:tcW w:w="3020" w:type="dxa"/>
            <w:vAlign w:val="bottom"/>
            <w:gridSpan w:val="4"/>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7"/>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8. Financial Statements and Supplementary Data</w:t>
              </w:r>
            </w:hyperlink>
          </w:p>
        </w:tc>
        <w:tc>
          <w:tcPr>
            <w:tcW w:w="1160" w:type="dxa"/>
            <w:vAlign w:val="bottom"/>
            <w:gridSpan w:val="2"/>
          </w:tcPr>
          <w:p>
            <w:pPr>
              <w:spacing w:after="0"/>
              <w:rPr>
                <w:sz w:val="18"/>
                <w:szCs w:val="18"/>
                <w:color w:val="auto"/>
              </w:rPr>
            </w:pPr>
          </w:p>
        </w:tc>
        <w:tc>
          <w:tcPr>
            <w:tcW w:w="4960" w:type="dxa"/>
            <w:vAlign w:val="bottom"/>
            <w:gridSpan w:val="6"/>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9. Changes in and Disagreements with Accountants On Accounting and Financial Disclosure</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9A. Controls and Procedures</w:t>
              </w:r>
            </w:hyperlink>
          </w:p>
        </w:tc>
        <w:tc>
          <w:tcPr>
            <w:tcW w:w="2940" w:type="dxa"/>
            <w:vAlign w:val="bottom"/>
            <w:gridSpan w:val="3"/>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1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9B. Other Information</w:t>
              </w:r>
            </w:hyperlink>
          </w:p>
        </w:tc>
        <w:tc>
          <w:tcPr>
            <w:tcW w:w="7560" w:type="dxa"/>
            <w:vAlign w:val="bottom"/>
            <w:gridSpan w:val="1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466"/>
        </w:trPr>
        <w:tc>
          <w:tcPr>
            <w:tcW w:w="7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5"/>
              </w:rPr>
            </w:pPr>
            <w:hyperlink w:anchor="page77">
              <w:r>
                <w:rPr>
                  <w:rFonts w:ascii="Arial" w:cs="Arial" w:eastAsia="Arial" w:hAnsi="Arial"/>
                  <w:sz w:val="18"/>
                  <w:szCs w:val="18"/>
                  <w:color w:val="0000FF"/>
                  <w:w w:val="95"/>
                </w:rPr>
                <w:t>PART III.</w:t>
              </w:r>
            </w:hyperlink>
          </w:p>
        </w:tc>
        <w:tc>
          <w:tcPr>
            <w:tcW w:w="1380" w:type="dxa"/>
            <w:vAlign w:val="bottom"/>
            <w:tcBorders>
              <w:top w:val="single" w:sz="8" w:color="0000FF"/>
            </w:tcBorders>
            <w:gridSpan w:val="5"/>
          </w:tcPr>
          <w:p>
            <w:pPr>
              <w:spacing w:after="0"/>
              <w:rPr>
                <w:sz w:val="24"/>
                <w:szCs w:val="24"/>
                <w:color w:val="auto"/>
              </w:rPr>
            </w:pPr>
          </w:p>
        </w:tc>
        <w:tc>
          <w:tcPr>
            <w:tcW w:w="802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gridSpan w:val="18"/>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ITEM 10. Directors, Executive Officers and Corporate Governance</w:t>
              </w:r>
            </w:hyperlink>
          </w:p>
        </w:tc>
        <w:tc>
          <w:tcPr>
            <w:tcW w:w="5260" w:type="dxa"/>
            <w:vAlign w:val="bottom"/>
            <w:gridSpan w:val="7"/>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13"/>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ITEM 11. Executive Compensation</w:t>
              </w:r>
            </w:hyperlink>
          </w:p>
        </w:tc>
        <w:tc>
          <w:tcPr>
            <w:tcW w:w="2300" w:type="dxa"/>
            <w:vAlign w:val="bottom"/>
            <w:gridSpan w:val="5"/>
          </w:tcPr>
          <w:p>
            <w:pPr>
              <w:spacing w:after="0"/>
              <w:rPr>
                <w:sz w:val="18"/>
                <w:szCs w:val="18"/>
                <w:color w:val="auto"/>
              </w:rPr>
            </w:pPr>
          </w:p>
        </w:tc>
        <w:tc>
          <w:tcPr>
            <w:tcW w:w="5260" w:type="dxa"/>
            <w:vAlign w:val="bottom"/>
            <w:gridSpan w:val="7"/>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3"/>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ITEM 12. Security Ownership of Certain Beneficial Owners and Management and Related Stockholder Matters</w:t>
              </w:r>
            </w:hyperlink>
          </w:p>
        </w:tc>
        <w:tc>
          <w:tcPr>
            <w:tcW w:w="2060" w:type="dxa"/>
            <w:vAlign w:val="bottom"/>
            <w:gridSpan w:val="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0"/>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ITEM 13. Certain Relationships and Related Transactions, and Director Independence</w:t>
              </w:r>
            </w:hyperlink>
          </w:p>
        </w:tc>
        <w:tc>
          <w:tcPr>
            <w:tcW w:w="1840" w:type="dxa"/>
            <w:vAlign w:val="bottom"/>
            <w:gridSpan w:val="3"/>
          </w:tcPr>
          <w:p>
            <w:pPr>
              <w:spacing w:after="0"/>
              <w:rPr>
                <w:sz w:val="18"/>
                <w:szCs w:val="18"/>
                <w:color w:val="auto"/>
              </w:rPr>
            </w:pPr>
          </w:p>
        </w:tc>
        <w:tc>
          <w:tcPr>
            <w:tcW w:w="2060" w:type="dxa"/>
            <w:vAlign w:val="bottom"/>
            <w:gridSpan w:val="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ITEM 14. Principal Accounting Fees and Services</w:t>
              </w:r>
            </w:hyperlink>
          </w:p>
        </w:tc>
        <w:tc>
          <w:tcPr>
            <w:tcW w:w="3900" w:type="dxa"/>
            <w:vAlign w:val="bottom"/>
            <w:gridSpan w:val="5"/>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466"/>
        </w:trPr>
        <w:tc>
          <w:tcPr>
            <w:tcW w:w="7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PART IV.</w:t>
              </w:r>
            </w:hyperlink>
          </w:p>
        </w:tc>
        <w:tc>
          <w:tcPr>
            <w:tcW w:w="2920" w:type="dxa"/>
            <w:vAlign w:val="bottom"/>
            <w:tcBorders>
              <w:top w:val="single" w:sz="8" w:color="0000FF"/>
            </w:tcBorders>
            <w:gridSpan w:val="12"/>
          </w:tcPr>
          <w:p>
            <w:pPr>
              <w:spacing w:after="0"/>
              <w:rPr>
                <w:sz w:val="24"/>
                <w:szCs w:val="24"/>
                <w:color w:val="auto"/>
              </w:rPr>
            </w:pPr>
          </w:p>
        </w:tc>
        <w:tc>
          <w:tcPr>
            <w:tcW w:w="650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60" w:type="dxa"/>
            <w:vAlign w:val="bottom"/>
            <w:gridSpan w:val="16"/>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ITEM 15. Exhibits, Financial Statement Schedules</w:t>
              </w:r>
            </w:hyperlink>
          </w:p>
        </w:tc>
        <w:tc>
          <w:tcPr>
            <w:tcW w:w="6460" w:type="dxa"/>
            <w:vAlign w:val="bottom"/>
            <w:gridSpan w:val="9"/>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77</w:t>
              </w:r>
            </w:hyperlink>
          </w:p>
        </w:tc>
        <w:tc>
          <w:tcPr>
            <w:tcW w:w="0" w:type="dxa"/>
            <w:vAlign w:val="bottom"/>
          </w:tcPr>
          <w:p>
            <w:pPr>
              <w:spacing w:after="0"/>
              <w:rPr>
                <w:sz w:val="1"/>
                <w:szCs w:val="1"/>
                <w:color w:val="auto"/>
              </w:rPr>
            </w:pPr>
          </w:p>
        </w:tc>
      </w:tr>
      <w:tr>
        <w:trPr>
          <w:trHeight w:val="20"/>
        </w:trPr>
        <w:tc>
          <w:tcPr>
            <w:tcW w:w="2300" w:type="dxa"/>
            <w:vAlign w:val="bottom"/>
            <w:gridSpan w:val="10"/>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1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ITEM 16. Form 10-K Summary</w:t>
              </w:r>
            </w:hyperlink>
          </w:p>
        </w:tc>
        <w:tc>
          <w:tcPr>
            <w:tcW w:w="6460" w:type="dxa"/>
            <w:vAlign w:val="bottom"/>
            <w:gridSpan w:val="9"/>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7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Background and Product Offerings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Digi International Inc. ("Digi," "we," "our," or "us") was incorporated in 1985 as a Minnesota corporation. We were reorganized as a Delaware corporation in 1989 in conjunction with our initial public offering. Our common stock is traded on the Nasdaq Global Select Market tier of the Nasdaq Stock Market LLC under the symbol DGII. Our World Headquarters is located at 9350 Excelsior Blvd., Suite 700, Hopkins, Minnesota 55343. The telephone number at our World Headquarters is (952) 912-3444.</w:t>
      </w:r>
    </w:p>
    <w:p>
      <w:pPr>
        <w:spacing w:after="0" w:line="16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a leading global provider of business and mission-critical Internet of Things ("IoT") connectivity products, services and solutions. We help our customers deploy, monitor and manage critical communications infrastructures that deliver important information in demanding environments with high levels of security and reliability. We have two reportable operating segments under applicable accounting standards: (i) IoT Products &amp; Services; and (ii) IoT Solutions.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IoT Products &amp; Services segment offers products and services that help original equipment manufacturers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IoT Solutions segment primarily consists of our SmartSense by Digi® business. SmartSense offers wireless temperature and other condition-based monitoring services as well as employee task management services. These solutions are focused on the following vertical markets: food service, healthcare (primarily pharmacies and hospitals) and supply chain. We initially formed, expanded and enhanced our SmartSense by Digi business through four acquisitions.</w:t>
      </w:r>
    </w:p>
    <w:p>
      <w:pPr>
        <w:spacing w:after="0" w:line="1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Following the conclusion of our fiscal 2021, we acquired Ventus Holdings in November 2021. Ventus makes us a leader in the provision of Managed Network-as-a-Service ("MNaaS") solutions that simplify the complexity of enterprise wide area network ("WAN") connectivity for our customers. Ventus’s portfolio includes cellular wireless and fixed line WAN solutions for an array of connectivity applications in banking, healthcare, retail, gaming, hospitality and other sectors. We are analyzing the business segment placement of Ventus's business. At present, we expect it will be included in our IoT Solutions segment, but a final determination is still pending.</w:t>
      </w:r>
    </w:p>
    <w:p>
      <w:pPr>
        <w:spacing w:after="0" w:line="1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more in-depth descriptions of our products and services, please refer to the heading "Principal Products and Services" at the end of Part I, Item 1 of this Form 10-K.</w:t>
      </w:r>
    </w:p>
    <w:p>
      <w:pPr>
        <w:spacing w:after="0" w:line="13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Our corporate website address is www.digi.com. In the "Company - Investor Relations" section of our website, we make our annual report on Form 10-K, quarterly reports on Form 10-Q, current reports on Form 8-K, our proxy statement and any amendments to these reports available free of charge as soon as reasonably practicable after these reports are filed with or furnished to the United States Securities and Exchange Commission ("SEC"). Information on our website is not incorporated by reference into this report or any other report we file with or furnish to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Ongoing Impacts of COVID-19</w:t>
      </w:r>
    </w:p>
    <w:p>
      <w:pPr>
        <w:spacing w:after="0" w:line="20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ongoing pandemic continues to create significant uncertainty regarding the nearer term outlook for our operations and the markets where we provide products and services. While the rollout of vaccines is well underway in many parts of the world, the pandemic (including the recent spread of more contagious variants of the virus) and related economic volatility it has caused still represents a fluid situation that presents a wide and changing range of potential impacts on our own business and those of our customers, vendors and other business partners.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continue to take a range of actions to assure we comply with government restrictions and guidelines as well as strong practices to protect the health and well-being of our employees and our ability to continue operating our business effectively. To date, we have been able to operate our business effectively using these measures and to maintain all internal controls as documented and posted. For example, we have successfully operated in a remote environment to prioritize employee safety without adversely impacting our day-to-day operations. We also have not experienced challenges in maintaining the continuity of our day-to-day business operations and do not expect to incur material expenditures to do so. We continue to monitor travel restrictions, and border closures closely so we are positioned to mitigate the negative impacts of any future restrictions or closures. We also continue to monitor government restrictions, mask mandates, and vaccine mandates in the locations where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operations. Since the start of the pandemic there have not been any material changes to our assets on our balance sheet and, at present, we do not expect there to be material adverse changes. During fiscal 2021, we reviewed the potential impacts of the COVID-19 pandemic on goodwill and intangible assets and determined there to be no material impact at that time . We also reviewed the potential impacts on future risks to the business as it relates to collections, returns and other business related items. No significant changes to these reserves have been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Supply Chain Disruptions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Like many companies, we are experiencing disruptions in our supply chain for a variety of reasons, including the COVID-19 pandemic, container ship backlogs, energy shortages in certain parts of the world, and components and material shortages. This has led to shortfalls in available components we need to make products as well as increased costs both to obtain components and to transport components and products. It has also lengthened the timelines for us to fulfill customer orders. The severity of the disruptions is changing continuously, meaning the impact on our ability to meet demand for particular products in a timely manner has been subject to ebb and flow. In some instances, these disruptions have been material and it is possible more material disruptions will occur. We are taking steps to attempt to mitigate the impact of the disruptions such as placing inventory demand further out into the future to secure our allocations of components, negotiating and engaging with suppliers to reserve components, encouraging customers to place orders earlier than normal due to longer lead times and attempting (in conjunction with customers) to influence political leaders to assure components needed to make products that are essential to the health and well-being of society are prioritized to our customer’s needs by suppliers. Some of our suppliers are also experiencing supply chain disruptions which in turn has, and may continue to, disrupt our operations. At present the ongoing duration and severity of these disruptions is not known. As such, we are unable to predict the ultimate impact of these disruptions on our business and financial results, which could be material.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and Marketplace Conditions</w:t>
      </w:r>
    </w:p>
    <w:p>
      <w:pPr>
        <w:spacing w:after="0" w:line="1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believe the IoT industry is in the midst of a multi-year expansion as many industries are undergoing a digital transformation within their business that drives demand for IoT capabilities across a broad spectrum of services. Among others, IoT use cases include automating workflows, condition-based monitoring and asset tracking.</w:t>
      </w:r>
    </w:p>
    <w:p>
      <w:pPr>
        <w:spacing w:after="0" w:line="14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IoT Products &amp; Services segment represented the significant majority of our sales in fiscal 2021. This segment sells both wired and wireless products that are either embedded into the products of OEMs or as stand-alone products. These offerings allow our customers to connect a wide range of assets to networks. This segment grew during fiscal 2021, led by increases in our embedded and console servers revenues. The segment includes some products that are in the mature phase of their life cycle and have been experiencing sales declines for several years. We manage this segment with more focus on profitability and more modest revenue growth expectations relative to our IoT Solutions segment.</w:t>
      </w:r>
    </w:p>
    <w:p>
      <w:pPr>
        <w:spacing w:after="0" w:line="13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IoT Solutions segment grew significantly in fiscal 2021 primarily because of increased demand for our SmartSense by Digi offerings. In large part, the increased demand arose because for much of fiscal 2020 some customers in our target markets for these offerings paused new or expanded operating initiatives due to significant uncertainty caused by the onset of the ongoing pandemic. During fiscal 2021 we added approximately 11,000 new sites that use our SmartSense monitoring services and now monitor in excess of 80,000 locations. Ventus presently serves over 170,000 sites. We manage this segment with more focus on revenue growth with more modest profitability growth relative to our IoT Product &amp; Services segment.</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 2021 we announced our acquisition of Ventus Holdings. This acquisition makes us a market leader in the provision of MNaaS solutions that simplify the complexity of enterprise WAN connectivity for an array of connectivity applications in banking, healthcare, retail, gaming, hospitality and other sectors. Ventus presently serves over 170,000 sites. We are in the process of confirming the segment reporting for this business, but presently expect it will be included in our IoT Solutions segment.</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we expect an ongoing long-term trend of marketplace growth, each of our business segments is susceptible to downturns either because of general macro-economic conditions, the continued development of technology that can make products less competitive or even obsolete and uncertainty or changes in regulatory environments. Given the current uncertainty in macro-economic conditions initiated by the ongoing pandemic, including, but not limited to, ongoing supply chain disruptions globally and the uncertain status of large project-based customer deployment opportunities, our results during fiscal 2022 may be inconsistent.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remain focused on taking steps that we believe will deliver consistent, long-term growth with higher levels of profitability. Over the last six years, acquisitions have helped significantly advance our strategy for growth and profitability, in both business segments. Over time we expect to continue to be active in making further acquisitions.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Products &amp; Services Segment</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IoT Products &amp; Services segment is being managed so our product management and sales personnel are aligned along specific product lines to bring greater market focus and potential growth to the product lines. We also continue to drive efforts to pair our hardware offerings with our Digi Remote Manager® device management platform as well as other support services. These bundled offerings allow customers to monitor and manage the performance of our hardware remotely. During fiscal 2021 we made two acquisitions in this segment designated to improve our market position and enhance our path to recurring revenue.</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26, 2021, we acquired Haxiot, Inc. ("Haxiot"), a Dallas-based provider of low power wide area ("LPWA") wireless technology. This acquisition enhanced our IoT Products &amp; Services segment by enhancing Digi's embedded systems portfolio and immediately extending the company's market reach with a complete LoRaWAN®-based solutions offering.</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6, 2021, we acquired Ctek, Inc. ("Ctek"), a San Pedro, California-based provider that specializes in solutions for remote monitoring and industrial controls. Through the acquisition of Ctek, Digi is uniquely positioned to provide customers with both battery and hardwired options for the control and monitoring of critical infrastructure, from complex off-shore oil rig locations to localized deployments such as municipal park lighting. In addition, Ctek’s offering and existing client portfolio is set to further Digi’s reach in a rapidly expanding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 Segment</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IoT Solutions segment is being managed primarily for revenue growth. This segment was formed through four acquisitions. Since the last acquisition in October 2017, it has grown through sales growth. While this segment still represents a modest overall portion of total revenues, we have high organic growth expectations and we will continue to explore added scale through acquisitions.</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SmartSense by Digi helps customers monitor temperature and other conditions important to preserve the quality of perishable or other sensitive inventories and tracks the completion of employee tasks. Our efforts have created a market-leading, high-growth hardware enabled service business with a significant recurring revenue base. At present, this marketplace primarily is served by smaller companies that lack the infrastructure to provide hardware-enabled implementation services to customers in as effective and efficient a manner as we are able to do because of our long-standing history as an IoT hardware provider.</w:t>
      </w:r>
    </w:p>
    <w:p>
      <w:pPr>
        <w:spacing w:after="0" w:line="14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of September 30, 2021, SmartSense by Digi served nearly 81,000 customer sites for many leading brands in the following vertical markets: food service, healthcare (primarily pharmacies) and supply chain. We entered these markets aggressively as they share similar needs for continuous monitoring and asset tracking for compliance and regulatory purposes. We believe these markets comprise a large addressable market with low customer penetration.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 of Ventus Holdings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 2021 we announced our acquisition of Ventus Holdings. This acquisition makes a us a leader MNaaS solutions that simplify the complexity of enterprise WAN connectivity for an array of applications in banking, healthcare, retail, gaming, hospitality and other sectors. Ventus presently provides services to over 170,000 sites. We are in the process of confirming the segment reporting for this business, but presently expect it will be included in our IoT Solutions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3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addition to our fiscal 2021 acquisitions of Haxiot and Ctek and our recent acquisition of Ventus disclosed above, we have made the following acquisitions from fiscal 2016 through fiscal 2020.</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completed the following four acquisitions that served as the basis for our SmartSense by Digi business and our IoT Solutions Segment:</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October 2015, we acquired Ontario-based Bluenica Corporation ("Bluenica"). Bluenica focused on temperature monitoring of perishable goods in the food industry by using wireless sensors to ensure that quality, freshness and public health requirements are met.</w:t>
      </w:r>
    </w:p>
    <w:p>
      <w:pPr>
        <w:spacing w:after="0" w:line="130"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November 2016, we acquired Pittsburgh-based FreshTemp, LLC ("FreshTemp®"). FreshTemp® offered restaurants, convenience stores and other retailers the ability to monitor the temperature of food products automatically through the use of wireless sensors. The company also enabled these businesses to track the completion of operational tasks by their employees that could impact human health and safety in real time.</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January 2017, we acquired Indiana-based SMART Temps,LLC (" SMART Temps®"). SMART Temps® provided real-time temperature management for restaurant, grocery, education and healthcare settings. The acquisition significantly expanded our customer base, especially in the pharmacy and education marketplaces.</w:t>
      </w:r>
    </w:p>
    <w:p>
      <w:pPr>
        <w:spacing w:after="0" w:line="15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October 2017, we acquired Boston-based TempAlert, LLC ("TempAlert"), a provider of automated, real-time temperature monitoring and task management solutions for the healthcare, industrial and food service industries. This acquisition more than doubled the number of customer sites we monitored while enhancing our ability to analyze data collected from our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also completed the following two acquisitions that augmented product offerings in our IoT Products &amp; Services segment:</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January 2018, we acquired Tampa-based Accelerated Concepts, Inc. ("Accelerated"), a provider of secure, enterprise-grade, cellular (LTE) networking equipment and backup connectivity applications. This acquisition expanded our IoT Products &amp; Services segment by enhancing our existing cellular product lines and extended our market reach with a line of commercial routers and network appliance products.</w:t>
      </w:r>
    </w:p>
    <w:p>
      <w:pPr>
        <w:spacing w:after="0" w:line="1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December 2019, we acquired New Jersey-based Opengear, Inc. ("Opengear"), a provider of secure IT infrastructure products and software. This acquisition provides products that are complementary to our IoT Products &amp; Services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 significant portion of our IoT Products &amp; Services segment sales are made through a global network of distributors, systems integrators and value added resellers ("VARs"). These third parties accounted for 47.0%, 37.5% and 46.1% of our total consolidated revenue in fiscal 2021, 2020 and 2019, respectively. Our IoT Solutions segment historically has not sold through these channels. We also complete sales of both IoT Products &amp; Services and IoT Solutions through our own dedicated sales organization to OEMs, large enterprise customers and other end user customers which accounted for 53.0%, 62.5% and 53.9% of our total consolidated revenue in fiscal 2021, 2020 and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larger distributors, by sales volume, include Arrow Electronics, Avnet, Bressner Technology GmbH, Digi-Key, Express Systems &amp; Peripherals, Ingram Micro, Mouser Electronics, Solid State Supplies, Symmetry Electronics, Synnex, Tech Data, Tokyo Electron Device and Venco Electrónica S.A. We also maintain relationships with many other distributors both domestically and internationally.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Sales Relationships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maintain alliances with other industry leaders to develop and market technology solutions. These include many major communications hardware and software vendors, operating system suppliers, computer hardware manufacturers, enterprise application providers and cellular carriers. Among others, relationships include: AT&amp;T, NXP, Orange, Rogers, Silicon Laboratories, T-Mobile, Telus, Telit, T-Mobile, Verizon, Vodafone and several other cellular carriers worldwide.</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established relationships with equipment vendors in a range of industries such as energy, industrial, retail, transportation, medical, and government that allow these partners to ship our products and services as component parts of their overall solutions. Our products are used by many of the world’s leading telecommunications companies and Internet service providers, including AT&amp;T, T-Mobile and Verizon.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comprised more than 10% of our consolidated revenue for any of the years ended September 30, 2021, 2020 or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compete primarily in the communications technology industry. This industry is characterized by rapid technological advances and evolving industry standards. This market can be affected significantly by new product introductions and marketing activities of industry participants. It is possible new market entrants could market and sell disruptive technologies that impact one or more of our product or service offerings. In addition, we may compete with other companies to acquire new businesses or technologies and the competition to secure such assets may be intense. 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 While no competitor offers a comparable range of products and services, various companies do compete with us with respect to one or more of our products or solutions. With respect to many of our product and service offerings, we face competition from companies who dedicate more resources and attention to that particular offering than we are able to do given the breadth of our business. As the marketplace for IoT connectivity products and solutions continues to grow, we expect to encounter increased competition. Some of these competitors may have access to significantly more financial and technical resources than we possess.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outsource our manufacturing operations to certain contract manufacturers, which are located primarily in Thailand, China, Mexico and Taiwan. We rely on third party foundries or companies who rely on third party foundries for our semiconductor devices that are Application Specific Integrated Circuits ("ASICs"). We also outsource printed circuit board production. By outsourcing our operations to these manufacturers, we can leverage the manufacturing strength of our vendors, which allows us to focus on new product introductions. In addition, it allows us to reduce our fixed costs, maintain production flexibility and optimize our profits.</w:t>
      </w:r>
    </w:p>
    <w:p>
      <w:pPr>
        <w:spacing w:after="0" w:line="14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products are manufactured to our designs with standard and custom components. Most of the components are available from multiple vendors. We have several single-sourced supplier relationships, either because alternative sources are not available or because the relationship is advantageous to us. As disclosed elsewhere, our manufacturing operations, like those of other companies, are dependent on relationship s with these suppliers who are also experiencing supply chain disruptions. If these suppliers are unable to provide a timely and reliable supply of components, we could experience manufacturing delays that could adversely affect our consolidated results of operations in a material way.</w:t>
      </w:r>
    </w:p>
    <w:p>
      <w:pPr>
        <w:spacing w:after="0" w:line="13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since the onset of the global pandemic there has been increased attention focused on actions of the Chinese government with respect to a wide range of businesses in that country. It is possible that changes in government policy in China could also disrupt the supply of components or end products we produce.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general, our business is not considered to be highly seasonal, although our first fiscal quarter revenue is often less than other quarters due to holidays and fewer shipping days.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and Intellectual Property Rights</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Due to rapidly changing technology in the communications technology industry, we believe a large part of our success depends upon the product and service development skills of our personnel as well as our ability to integrate any acquired technologies with organically developed technologies. While we dedicate significant resources to research and development, many of our competitors are focused on a smaller set of products than us and are likely able to dedicate more resources than us toward the portions of the market in which we compete with them.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proprietary rights and technology are protected by a combination of copyrights, patents, trade secrets and trademarks.</w:t>
      </w:r>
    </w:p>
    <w:p>
      <w:pPr>
        <w:spacing w:after="0" w:line="18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have established common law and registered trademark rights on a family of marks for a number of our products. Our IoT Products &amp; Services primarily are sold under the Digi</w:t>
      </w:r>
      <w:r>
        <w:rPr>
          <w:rFonts w:ascii="Arial" w:cs="Arial" w:eastAsia="Arial" w:hAnsi="Arial"/>
          <w:sz w:val="23"/>
          <w:szCs w:val="23"/>
          <w:color w:val="auto"/>
          <w:vertAlign w:val="superscript"/>
        </w:rPr>
        <w:t>®</w:t>
      </w:r>
      <w:r>
        <w:rPr>
          <w:rFonts w:ascii="Arial" w:cs="Arial" w:eastAsia="Arial" w:hAnsi="Arial"/>
          <w:sz w:val="18"/>
          <w:szCs w:val="18"/>
          <w:color w:val="auto"/>
        </w:rPr>
        <w:t>, Rabbit</w:t>
      </w:r>
      <w:r>
        <w:rPr>
          <w:rFonts w:ascii="Arial" w:cs="Arial" w:eastAsia="Arial" w:hAnsi="Arial"/>
          <w:sz w:val="23"/>
          <w:szCs w:val="23"/>
          <w:color w:val="auto"/>
          <w:vertAlign w:val="superscript"/>
        </w:rPr>
        <w:t>®</w:t>
      </w:r>
      <w:r>
        <w:rPr>
          <w:rFonts w:ascii="Arial" w:cs="Arial" w:eastAsia="Arial" w:hAnsi="Arial"/>
          <w:sz w:val="18"/>
          <w:szCs w:val="18"/>
          <w:color w:val="auto"/>
        </w:rPr>
        <w:t>, Digi XBee</w:t>
      </w:r>
      <w:r>
        <w:rPr>
          <w:rFonts w:ascii="Arial" w:cs="Arial" w:eastAsia="Arial" w:hAnsi="Arial"/>
          <w:sz w:val="23"/>
          <w:szCs w:val="23"/>
          <w:color w:val="auto"/>
          <w:vertAlign w:val="superscript"/>
        </w:rPr>
        <w:t>®</w:t>
      </w:r>
      <w:r>
        <w:rPr>
          <w:rFonts w:ascii="Arial" w:cs="Arial" w:eastAsia="Arial" w:hAnsi="Arial"/>
          <w:sz w:val="18"/>
          <w:szCs w:val="18"/>
          <w:color w:val="auto"/>
        </w:rPr>
        <w:t>, and OpenGear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 We believe that the Digi</w:t>
      </w:r>
      <w:r>
        <w:rPr>
          <w:rFonts w:ascii="Arial" w:cs="Arial" w:eastAsia="Arial" w:hAnsi="Arial"/>
          <w:sz w:val="23"/>
          <w:szCs w:val="23"/>
          <w:color w:val="auto"/>
          <w:vertAlign w:val="superscript"/>
        </w:rPr>
        <w:t>®</w:t>
      </w:r>
      <w:r>
        <w:rPr>
          <w:rFonts w:ascii="Arial" w:cs="Arial" w:eastAsia="Arial" w:hAnsi="Arial"/>
          <w:sz w:val="18"/>
          <w:szCs w:val="18"/>
          <w:color w:val="auto"/>
        </w:rPr>
        <w:t>and Rabbit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 have established strong identities with our targeted customer base and our customers associate the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with "reliability" and the Rabbit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with "ease of integration." We believe that our customers associate Digi XBee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"ease of use." Many of our customers choose us because they are building a very complex system solution and they want the highest level in product reliability and ease of integration and use. Our IoT Solutions are offered under the Ventus and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w:t>
      </w:r>
    </w:p>
    <w:p>
      <w:pPr>
        <w:spacing w:after="0" w:line="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patents are applicable to specific technologies and are valid for varying periods of time based on the date of patent application or patent grant in the U.S. and the legal term of patents in the various foreign countries where patent protection is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80"/>
        <w:spacing w:after="0" w:line="453" w:lineRule="auto"/>
        <w:rPr>
          <w:sz w:val="20"/>
          <w:szCs w:val="20"/>
          <w:color w:val="auto"/>
        </w:rPr>
      </w:pPr>
      <w:r>
        <w:rPr>
          <w:rFonts w:ascii="Arial" w:cs="Arial" w:eastAsia="Arial" w:hAnsi="Arial"/>
          <w:sz w:val="18"/>
          <w:szCs w:val="18"/>
          <w:color w:val="auto"/>
        </w:rPr>
        <w:t xml:space="preserve">obtained. We believe our intellectual property has significant value and is an important factor in the marketing of our company and products. </w:t>
      </w:r>
      <w:r>
        <w:rPr>
          <w:rFonts w:ascii="Arial" w:cs="Arial" w:eastAsia="Arial" w:hAnsi="Arial"/>
          <w:sz w:val="18"/>
          <w:szCs w:val="18"/>
          <w:b w:val="1"/>
          <w:bCs w:val="1"/>
          <w:color w:val="auto"/>
        </w:rPr>
        <w:t>HUMAN CAPITAL RESOURCES</w:t>
      </w:r>
    </w:p>
    <w:p>
      <w:pPr>
        <w:spacing w:after="0" w:line="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Digi International’s workforce consists of approximately 659 employees globally as of September 30, 2021. We consider our relationship with our employees to be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employees of Digi we are all expected to uphold the following core values that drive our culture:</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Respect and open communication</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core values define the way we do business in our everyday actions and choices. We strive to create a respectful work environment characterized by mutual trust and the absence of intimidation, oppression, discrimination and exploitation.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w:t>
      </w:r>
    </w:p>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Successful execution of our strategy is dependent on attracting, developing and retaining key employees and members of our management team. The skills, experience and industry knowledge of our employees significantly benefit our operations and performance. We continuously evaluate, modify, and enhance our internal processes and technologies to increase employee engagement, productivity, and efficiency.</w:t>
      </w:r>
    </w:p>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committed to promoting and cultivating an inclusive, diverse culture that welcomes and celebrates everyone without bias. In addition, we actively engage within our communities to foster and attain social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8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compensation philosophy creates the framework and building blocks for our rewards strategy. We have a pay-for-performance culture that ties compensation to the performance of the individual and the company. We provide balanced compensation programs that focus on the following five key elements:</w:t>
      </w:r>
    </w:p>
    <w:p>
      <w:pPr>
        <w:spacing w:after="0" w:line="1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Pay-for-performance - Reward and recognize leading contributors and high potentials;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market based - Pay levels that are competitive with respect to the labor market in which we compete for talent;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equity - Providing for fair pay relationships within the Company;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responsibility - Providing affordable programs that are within our budget;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compliance - Ensure the organization is legally compliant in all states and countries in which we operate.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Wellness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committed to providing a competitive and comprehensive benefits package to our employees. Our benefits package provides a balance of protection along with the flexibility to meet the individual health and wellness needs of our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primary products and services for each operating segment 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IoT Products &amp; Services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Hardware Products</w:t>
      </w:r>
    </w:p>
    <w:p>
      <w:pPr>
        <w:spacing w:after="0" w:line="181"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Cellular Products – </w:t>
      </w:r>
      <w:r>
        <w:rPr>
          <w:rFonts w:ascii="Arial" w:cs="Arial" w:eastAsia="Arial" w:hAnsi="Arial"/>
          <w:sz w:val="18"/>
          <w:szCs w:val="18"/>
          <w:color w:val="auto"/>
        </w:rPr>
        <w:t>We provide a range of products that use cellular technology such as Long Term Evolution (“LTE”) and LTE Advance Pro to</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 with networks. These products provide a cost-effective alternative to landlines for primary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or backup connectivity. They are trusted by global leaders in agricultural, energy medical, lighting, transportation and other industrial markets and include:</w:t>
      </w:r>
    </w:p>
    <w:p>
      <w:pPr>
        <w:spacing w:after="0" w:line="140" w:lineRule="exact"/>
        <w:rPr>
          <w:sz w:val="20"/>
          <w:szCs w:val="20"/>
          <w:color w:val="auto"/>
        </w:rPr>
      </w:pPr>
    </w:p>
    <w:p>
      <w:pPr>
        <w:ind w:left="660" w:right="5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Cellular routers that help enterprise, government and OEM customers with their mission-critical wireless connectivity needs in challenging environments.</w:t>
      </w:r>
    </w:p>
    <w:p>
      <w:pPr>
        <w:spacing w:after="0" w:line="6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Cellular modules that help OEM customers embed cellular communications abilities into their products so they can deploy and manage intelligent and secure cellular connected products. These modules help OEMs to get their products to market faster and with lower development costs and risks so they can focus on their core competencies instead of on wireless connectivity design.</w:t>
      </w:r>
    </w:p>
    <w:p>
      <w:pPr>
        <w:spacing w:after="0" w:line="75"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Console servers that can be managed by software to provide secure, remote access to network equipment in data centers and at edge locations. These products primarily are used by IT organizations in large enterprises to maximize the availability of services to their customers and employees, and provide business continuity in the event of a network failure. This technology improves efficiency and reduces the risk of costly outages.</w:t>
      </w:r>
    </w:p>
    <w:p>
      <w:pPr>
        <w:spacing w:after="0" w:line="200" w:lineRule="exact"/>
        <w:rPr>
          <w:sz w:val="20"/>
          <w:szCs w:val="20"/>
          <w:color w:val="auto"/>
        </w:rPr>
      </w:pPr>
    </w:p>
    <w:p>
      <w:pPr>
        <w:spacing w:after="0" w:line="37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Radio-Frequency (“RF”) Products </w:t>
      </w:r>
      <w:r>
        <w:rPr>
          <w:rFonts w:ascii="Arial" w:cs="Arial" w:eastAsia="Arial" w:hAnsi="Arial"/>
          <w:sz w:val="18"/>
          <w:szCs w:val="18"/>
          <w:color w:val="auto"/>
        </w:rPr>
        <w:t>– These products which are marketed primarily under the Digi XBee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 include embedded wireless modules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off-the-shelf gateways, modems and adapters. They are used by customers across a broad range of industries. These products offer a wide selection of both standards-based and proprietary wireless protocols including Zigbee, Cellular, Sub-1 GHz, LPWA, WiFi and Bluetooth to meet diverse application requirements of customers.</w:t>
      </w:r>
    </w:p>
    <w:p>
      <w:pPr>
        <w:spacing w:after="0" w:line="15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 xml:space="preserve">Embedded System Products </w:t>
      </w:r>
      <w:r>
        <w:rPr>
          <w:rFonts w:ascii="Arial" w:cs="Arial" w:eastAsia="Arial" w:hAnsi="Arial"/>
          <w:sz w:val="16"/>
          <w:szCs w:val="16"/>
          <w:color w:val="auto"/>
        </w:rPr>
        <w:t>– Marketed under the Digi Connect, ConnectCore</w:t>
      </w:r>
      <w:r>
        <w:rPr>
          <w:rFonts w:ascii="Arial" w:cs="Arial" w:eastAsia="Arial" w:hAnsi="Arial"/>
          <w:sz w:val="20"/>
          <w:szCs w:val="2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Rabbit</w:t>
      </w:r>
      <w:r>
        <w:rPr>
          <w:rFonts w:ascii="Arial" w:cs="Arial" w:eastAsia="Arial" w:hAnsi="Arial"/>
          <w:sz w:val="20"/>
          <w:szCs w:val="2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brands these are embedded system on modules ("SOMs")</w:t>
      </w:r>
      <w:r>
        <w:rPr>
          <w:rFonts w:ascii="Arial" w:cs="Arial" w:eastAsia="Arial" w:hAnsi="Arial"/>
          <w:sz w:val="16"/>
          <w:szCs w:val="16"/>
          <w:b w:val="1"/>
          <w:bCs w:val="1"/>
          <w:color w:val="auto"/>
        </w:rPr>
        <w:t xml:space="preserve"> </w:t>
      </w:r>
      <w:r>
        <w:rPr>
          <w:rFonts w:ascii="Arial" w:cs="Arial" w:eastAsia="Arial" w:hAnsi="Arial"/>
          <w:sz w:val="16"/>
          <w:szCs w:val="16"/>
          <w:color w:val="auto"/>
        </w:rPr>
        <w:t>and single board computers that are embedded into customer products in a broad range of industries and applications. These products deliver highly integrated computer platforms with scalable performance, flexible wired and wireless connectivity and complete software platforms. These products are designed and developed with compact form-factors, low power consumption and long product lifecycles. The latest ConnectCore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support advanced multi-core processing, security, multimedia, human-machine interface ("HMI") and other emerging technologies like machine learning.</w:t>
      </w:r>
    </w:p>
    <w:p>
      <w:pPr>
        <w:spacing w:after="0" w:line="14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Infrastructure Management Products – </w:t>
      </w:r>
      <w:r>
        <w:rPr>
          <w:rFonts w:ascii="Arial" w:cs="Arial" w:eastAsia="Arial" w:hAnsi="Arial"/>
          <w:sz w:val="17"/>
          <w:szCs w:val="17"/>
          <w:color w:val="auto"/>
        </w:rPr>
        <w:t>These products include serial and Universal Serial Bus ("USB") solutions. Our serial servers (also known as</w:t>
      </w:r>
      <w:r>
        <w:rPr>
          <w:rFonts w:ascii="Arial" w:cs="Arial" w:eastAsia="Arial" w:hAnsi="Arial"/>
          <w:sz w:val="17"/>
          <w:szCs w:val="17"/>
          <w:b w:val="1"/>
          <w:bCs w:val="1"/>
          <w:color w:val="auto"/>
        </w:rPr>
        <w:t xml:space="preserve"> </w:t>
      </w:r>
      <w:r>
        <w:rPr>
          <w:rFonts w:ascii="Arial" w:cs="Arial" w:eastAsia="Arial" w:hAnsi="Arial"/>
          <w:sz w:val="17"/>
          <w:szCs w:val="17"/>
          <w:color w:val="auto"/>
        </w:rPr>
        <w:t>device servers and terminal servers) provide secure and reliable serial port-to-Ethernet integration of most devices into wired Ethernet networks. This means that they are capable of converting data received over TCP/IP networks such as the internet and back; thereby eliminating the need for each device to have a physical connection to a computer. We also offer multiple USB solutions whose primary functions are to connect multiple USB devices, allowing them to work over a wired or wireless network without each device needing to plug into its own host computer. These products also include battery and hardwired options for the control and monitoring of critical infrastructure.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Digi Remote Manager® - </w:t>
      </w:r>
      <w:r>
        <w:rPr>
          <w:rFonts w:ascii="Arial" w:cs="Arial" w:eastAsia="Arial" w:hAnsi="Arial"/>
          <w:sz w:val="18"/>
          <w:szCs w:val="18"/>
          <w:color w:val="auto"/>
        </w:rPr>
        <w:t>Digi Remote Manager® is a recurring revenue cloud-based service that provides a secure environment for customers to manage</w:t>
      </w:r>
      <w:r>
        <w:rPr>
          <w:rFonts w:ascii="Arial" w:cs="Arial" w:eastAsia="Arial" w:hAnsi="Arial"/>
          <w:sz w:val="18"/>
          <w:szCs w:val="18"/>
          <w:b w:val="1"/>
          <w:bCs w:val="1"/>
          <w:color w:val="auto"/>
        </w:rPr>
        <w:t xml:space="preserve"> </w:t>
      </w:r>
      <w:r>
        <w:rPr>
          <w:rFonts w:ascii="Arial" w:cs="Arial" w:eastAsia="Arial" w:hAnsi="Arial"/>
          <w:sz w:val="18"/>
          <w:szCs w:val="18"/>
          <w:color w:val="auto"/>
        </w:rPr>
        <w:t>their connected device deployment. This service allows customers to activate, monitor and diagnose a large number of mission-critical devices from a single point of command. Through a "single pane of glass," network managers can edit configurations, update firmware, and schedule and automate tasks from their desktop, tablet or phone.</w:t>
      </w:r>
    </w:p>
    <w:p>
      <w:pPr>
        <w:spacing w:after="0" w:line="153"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Lighthouse Management Software - </w:t>
      </w:r>
      <w:r>
        <w:rPr>
          <w:rFonts w:ascii="Arial" w:cs="Arial" w:eastAsia="Arial" w:hAnsi="Arial"/>
          <w:sz w:val="16"/>
          <w:szCs w:val="16"/>
          <w:color w:val="auto"/>
        </w:rPr>
        <w:t>Lighthouse is a recurring revenue cloud-based service that provides a secure environment for customers to manage</w:t>
      </w:r>
      <w:r>
        <w:rPr>
          <w:rFonts w:ascii="Arial" w:cs="Arial" w:eastAsia="Arial" w:hAnsi="Arial"/>
          <w:sz w:val="16"/>
          <w:szCs w:val="16"/>
          <w:b w:val="1"/>
          <w:bCs w:val="1"/>
          <w:color w:val="auto"/>
        </w:rPr>
        <w:t xml:space="preserve"> </w:t>
      </w:r>
      <w:r>
        <w:rPr>
          <w:rFonts w:ascii="Arial" w:cs="Arial" w:eastAsia="Arial" w:hAnsi="Arial"/>
          <w:sz w:val="16"/>
          <w:szCs w:val="16"/>
          <w:color w:val="auto"/>
        </w:rPr>
        <w:t>their network devices by providing secure access to remote networks regardless of how they are connected or how a user interacts with the system. Designed with security, scalability and automation in mind, Lighthouse allows engineers to control every aspect of their network through a central hub.</w:t>
      </w:r>
    </w:p>
    <w:p>
      <w:pPr>
        <w:spacing w:after="0" w:line="10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Technical Services </w:t>
      </w:r>
      <w:r>
        <w:rPr>
          <w:rFonts w:ascii="Arial" w:cs="Arial" w:eastAsia="Arial" w:hAnsi="Arial"/>
          <w:sz w:val="16"/>
          <w:szCs w:val="16"/>
          <w:color w:val="auto"/>
        </w:rPr>
        <w:t>- Our Technical Services provide professional services, data plan subscriptions and enhanced technical support offers to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services include solution planning and implementation services to customers who purchase our products such as site planning, implementation management, application development and customer training. Data plan subscriptions are offered to customers wishing to enable cellular connectivity on our products. Enhanced technical support provides priority, in-depth technical support consultations with our experienced support team. These services ensure customers get to market quickly, minimize risk, and ensure customer success with their Digi solution.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IoT Solutions Segment</w:t>
      </w:r>
    </w:p>
    <w:p>
      <w:pPr>
        <w:spacing w:after="0" w:line="185"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color w:val="auto"/>
        </w:rPr>
        <w:t>SmartSense by Digi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Our SmartSense by Digi</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an end-to-end, cost-effective system that uses sensors, gateways and cloud based applications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enable customers in food service (e.g. super markets, schools and restaurants), healthcare (primarily pharmacies and hospitals) and transportation/logistics to: (i) monitor wirelessly the temperature of food and other perishable or sensitive goods, (ii) monitor facilities or pharmacies by tracking the completion of operating tasks by employees, and (iii) have visibility in the supply chain to product temperature through an end-to-end system for quality control and incident management. Typically, customers receive hardware up-front, including gateways and sensors, and pay for an annual subscription for monitoring sensor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Acquistion of Ventus Holdings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announced our acquisition of Ventus Holdings on November 2, 2021. This acquisition makes us a leader in the provision MNaaS solutions that simplify the complexity of both wireless and fixed-line WAN connectivity. Our portfolio includes an array of connectivity applications in the banking, healthcare, retail, gaming, hospitality and other sectors. Supporting ATMs, gaming, point-of-sale, kiosks, digital signing and retail applications, Ventus works closely with its customers to customize innovative MNaaS solutions.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We are in the process of confirming the segment reporting for this business, but presently expect it will be included in our IoT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Multiple risk factors exist which could have a material effect on our operations, results of operations, financial position, liquidity, capital resources and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Supply Chain and Freight Transportation Disruptions</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we previous disclosed, like many companies, we are experiencing disruptions in our supply chain for a variety of reasons that we believe were initially triggered by the ongoing COVID-19 pandemic. Among others these reasons include: labor force disruptions, container ship backlogs, physical container shortages at locations important for the global supply chain, energy disruptions in China and elsewhere and material and component shortages. We also are monitoring policy actions by the Chinese government that could cause other disruptions in the supply and production of components and products. Collectively these issues have led to shortfalls in available components we need to make products as well as increased costs to obtain components, to make products and to transport components and products. It has also lengthened the timelines for us to fulfill customer orders. The severity of the disruptions is continuously changing, meaning the impact on our ability to meet demand for particular products in a timely manner has been subject to ebb and flow. Some of these disruptions have been material with respect to certain of our products. We are taking steps to attempt to mitigate the impact of disruptions such as placing inventory demand further out into the future to secure our allocations of components, negotiating and engaging with suppliers to reserve components, encouraging customers to place orders earlier than normal due to longer lead times and attempting (in conjunction with customers) to influence political leaders to assure components needed to make products that are essential to the health and well-being of society are prioritized to our customer’s needs by suppliers. Many of our suppliers are also experiencing supply chain disruptions which in turn disrupt our operations. At present, we are unable to predict neither the duration or severity, nor the impact on our business and financial results of these disruptions, which could be material.</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depend on manufacturing relationships and on limited-source suppliers, and any disruptions in these relationships may cause damage to our customer relationships.</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As an example, Ventus relies almost exclusively on a manufacturer in China for the production of the hardware it provides to its customers. Further, as discussed elsewhere, the COVID-19 pandemic and other factors have created stress on many supply chains globally. This has impacted on our own ability to procure certain inventory and services, in both of our business segments. Some of these impacts have been material and it is possible additional material impacts could occur in the future. There can be no assurance that our suppliers will be able to meet our future requirements for products and components in a timely fashion. In addition, the availability of many of the components we need is dependent in part on our ability to provide our suppliers with accurate forecasts of our future requirements. Delays or lost revenue could be caused by other factors beyond our control, including late deliveries by vendors of components, or force majeure events. As an example of force majeure, a fire in November 2014 disrupted the operations at one of our contract manufacturers in Thailand.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or the availability of manufacturing services that currently are obtained from limited sources could disrupt our operations and have a material adverse effect on our customer relationships and profitability.</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The long and variable sales cycle for certain of our products and services makes it more difficult for us to predict our operating results and manage our business.</w:t>
      </w:r>
    </w:p>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sale of our products and services may require a significant technical evaluation and commitment of capital and other resources by potential customers and end users, as well as delays frequently associated with end users’ internal procedures to deploy new technologies and to test and accept new technologies. For these and other reasons, the sales cycle associated with certain of our products is typically lengthy and is subject to a number of significant risks, such as end users’ internal purchasing reviews, that are beyond our control. Because of the lengthy sales cycle and the large size of certain customer orders, if orders forecasted for a specific customer are not realized or delayed, our operating results could be materially adversely affected.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participation in a services and solutions model, using hardware and cloud-based services, presents execution and competitive risks.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participate in a services and solutions model that uses both hardware and cloud-based services. Both our SmartSense by Digi® and recently acquired Ventus offerings deploy hardware, software and cloud-based hosting. In other areas of our business we offer hosted services and cloud-based platform, software applications, and supporting products and services. We also employ significant human and financial resources to develop and deploy these offerings. As we work to grow and scale these offerings, these investments have and can adversely impacted our gross margins and profitability and may continue to do so in the future. While we believe we have a strong foundation to compete, it is uncertain whether our strategies will attract the users or generate the revenue required to be successful. Certain customers and potential customers that use these offerings have also been adversely impacted by the COVID-19 pandemic which started during calendar year 2020 and the resulting global economic downturn could impede our ability to win and retain customers. We have and expect to encounter competition from other solutions providers, some of whom may have more significant resources than us with which to compete. Whether we are successful in this business model depends on a number of factors, including:</w:t>
      </w:r>
    </w:p>
    <w:p>
      <w:pPr>
        <w:spacing w:after="0" w:line="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the infrastructure to deploy and evolve our solutions effectively and continuously;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features and functionality of our offerings relative to competing offerings as well as our ability to market effectively;</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engage in successful strategic relationships with third parties such as telecommunications carriers, component makers and systems integrators;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competing effectively for market share; and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complete end-to-end solutions that meet the needs of the marketplace generally as well as the particular requirements of our customers more effectively and efficiently than competitive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sustain and grow our business depends in large part on the success of our channel partner distributors and resellers.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substantial portion of our revenue is generated through sales by channel partner distributors and resellers. Further, in recent years we have been taking steps to expand our relationship with certain distributors who have global reach. These expanison efforts may increase the percent of our revenue driven through channel partners or heighten our reliance on certain channel partners to drive sales. To the extent our channel partners are unsuccessful selling our products or if we are unable to obtain and retain a sufficient number of high-quality channel partners, our operating results could be materially and adversely affected. In addition, our channel partners may market, sell and support products and services that are competitive with ours, and may devote more resources to the marketing, sales and support of such products. These channel partners may have incentives to promote our competitors’ products in lieu of our products, particularly for our competitors with larger volumes of orders, more diverse product offerings and longer relationships with our distributors and resellers. It is possible, one or more of our important channel partners may stop selling our products completely. Our channel partner sales structure could subject us to lawsuits, potential liability and reputational harm if, for example, any of our channel partners misrepresents the functionality of our products or services to customers, or violates laws or our corporate policies. If we fail to manage our existing or future sales channel partners effectively, our business and operating results could be materially and adversely affected.</w:t>
      </w:r>
    </w:p>
    <w:p>
      <w:pPr>
        <w:spacing w:after="0" w:line="15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Our sales and operations globally face risks related to health epidemics or pandemics that could disrupt our operations and adversely impact our sales and operating results.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business operations and financial results could be adversely affected by the effects of a widespread outbreak of contagious disease or other material adverse widespread public health development, such as the outbreak of the COVID-19 respiratory illness caused by a novel coronavirus first identified in Wuhan, Hubei Province, China in 2020. These effects could include the absence of one or more key employees or significant numbers or employees generally, disruptions or restrictions on our ability to maintain operations at one or more of our facilities, disruptions or restrictions to travel that is important to our operations, adverse impacts on our ability to distribute or deliver our products or services as well as temporary disruptions, restrictions or closures of the facilities of our suppliers or customers and their contract manufacturers. Any of the above absences, disruptions or restrictions could impact our sales and operating results negatively. If these absences, disruptions or restrictions are significant and material it is possible our business continuity could be jeopardized. Depending on the location of any such disruption or restriction, there may not be a solution that will be easy to implement in a timely manner or without significant expense. In addition, any significant outbreak of contagious diseases could materially and adversely affect the economies and financial markets of many countries or the entire world, resulting in an economic downturn that could affect demand for our products, likely impact our operating results and restrain our access to capital from lenders or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could disrupt our business and seriously harm our financial condition.</w:t>
      </w:r>
    </w:p>
    <w:p>
      <w:pPr>
        <w:spacing w:after="0" w:line="18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will continue to consider acquisitions of businesses, products or technologies. In the event of any future acquisitions, we could issue stock that would dilute our current stockholders’ percentage ownership, incur additional debt, assume liabilities or incur large and immediate write-offs.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operation of any acquired business also involves numerous risks, including but not limited to:</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combining the acquired operations, technologies,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integrating businesses in different countries and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implementing internal controls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no or limited prior experience;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business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cannot assure that we will be able to successfully integrate any businesses, products, technologies, or personnel that we have acquired or that we might acquire in the future. Any such integration failure could disrupt our business and have a material adverse effect on our consolidated financial condition and results of operations. Moreover, from time to time, we may enter into negotiations for a proposed acquisition, but be unable or unwilling to consummate the acquisition under consideration. This could cause significant diversion of management’s attention and out-of-pocket expenses for us. We could also be exposed to litigation as a result of any consummated or unconsummated acquisition.</w:t>
      </w:r>
    </w:p>
    <w:p>
      <w:pPr>
        <w:spacing w:after="0" w:line="1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The businesses of Accelerated, which we acquired in fiscal 2018, and Ventus, which we acquired in fiscal 2022, are subject to significant customer concentration.</w:t>
      </w:r>
    </w:p>
    <w:p>
      <w:pPr>
        <w:spacing w:after="0" w:line="13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the second quarter of fiscal 2018, we acquired Accelerated. While Accelerated has many customers, its business historically has been highly dependent on its relationship with a single telecommunications carrier customer. Any disruption or difficulties in securing or renewing contractual relationships with this customer, maintaining such relationship on favorable terms or any other disruption in our business with this customer could have an adverse impact on our business, results of operations, financial condition and prospects.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first quarter of fiscal 2022, we acquired Ventus. While Ventus has many customers, its business historically has been significantly concentrated on its relationships with fewer than twenty customers. Any disruption or difficulties in securing or renewing contractual relationships with any of these customers, maintaining such relationships on favorable terms or any other disruption in our business with one or more of these customers could have an adverse impact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SmartSense by Digi® remains subject to the risks faced by a business operating in an emerging market.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SmartSense by Digi® primarily was formed through acquisitions of four businesses, the last of which was completed in October 2017, and is operated in an emerging market where technology based solutions to monitor the condition of perishable goods as well as the competition of employee tasks have not been used historically. The operation of SmartSense by Digi® will be subject to significant additional risks that are not necessarily related to our legacy products and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risks that relate to SmartSense by Digi®, include, but are not limited to:</w:t>
      </w:r>
    </w:p>
    <w:p>
      <w:pPr>
        <w:spacing w:after="0" w:line="117" w:lineRule="exact"/>
        <w:rPr>
          <w:sz w:val="20"/>
          <w:szCs w:val="20"/>
          <w:color w:val="auto"/>
        </w:rPr>
      </w:pPr>
    </w:p>
    <w:p>
      <w:pPr>
        <w:ind w:left="660" w:right="6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traditionally sold products or services to restaurants, pharmacies, hospitals and other similar businesses, which are a focus for SmartSense by Digi®.</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SmartSense by Digi® offerings are deployed in part to help assure perishable goods are safely preserved. This presents a potential risk of loss in the event of a malfunction or failure of our offerings.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SmartSense by Digi® has a limited history with us in a marketplace that is nascent in its development and has numerous competitors. We cannot provide assurances we will be successful in operating and continuing to grow this business.</w:t>
      </w:r>
    </w:p>
    <w:p>
      <w:pPr>
        <w:spacing w:after="0" w:line="62" w:lineRule="exact"/>
        <w:rPr>
          <w:rFonts w:ascii="Arial" w:cs="Arial" w:eastAsia="Arial" w:hAnsi="Arial"/>
          <w:sz w:val="18"/>
          <w:szCs w:val="18"/>
          <w:color w:val="auto"/>
        </w:rPr>
      </w:pPr>
    </w:p>
    <w:p>
      <w:pPr>
        <w:ind w:left="660" w:right="100" w:hanging="328"/>
        <w:spacing w:after="0" w:line="30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succeed with the SmartSense by Digi® offerings will depend in large part on our ability to provide customers with hardware and software products that are easy to deploy and offer features and functionality that address the needs of particular businesses. The customer desire for ease of deployment has been heightened by the COVID-19 pandemic that commenced during 2020. We may face challenges and delays in the development of this business as the marketplace for products and services evolves to meet the needs and desires of customers.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light of these risks and uncertainties, we may not be able to establish or maintain the market share of SmartSense by Digi®, integrate it successfully into our other operations or take full advantage of businesses we have acquired or may acquire in the future. There can be no assurance that we will recover our investments in SmartSense by Digi® or that we will realize significant and consistent profits from this business. Also, there can be no assurance that diverting our management’s attention to this business will not have a material adverse effect on our other existing businesses, any of which may have a material adverse effect on our results of operations, financial condition and prospects.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Foreign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use of suppliers in other parts of the world involves risks that could negatively impact us.</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purchase a number of components from suppliers in other parts of the world. Product delivery times may be extended due to the distances involved, requiring more lead time in ordering. In addition, ocean freight delays may occur as a result of labor problems, weather delays, expediting orders for third parties or customs issues. Any extended delay in receipt of the component parts could eliminate anticipated cost savings and have a material adverse effect on our customer relationships and profitability. Governments continue to impose tariffs on various products and components which may impact the pricing of certain components and inventories and could have a material adverse effect on our competitive standing in the marketplace and our financial results. Ongoing power outages in Asia and Europe could also have a material adverse effect ability to obtain components for our products from our foreign suppliers. Additional challenges could occur if these suppliers allocate materials and components to other customers. Finally, the Chinese government recently has implemented policies that adversely have impacted various industries in that nation and it is possible they may take actions in the future that are adverse to suppliers who we rely upon.</w:t>
      </w:r>
    </w:p>
    <w:p>
      <w:pPr>
        <w:spacing w:after="0" w:line="1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We face risks associated with our international operations that could impair our ability to grow our revenue abroad as well as our overall financial condition.</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future growth may be dependent in part upon our ability to increase sales in international markets. These sales are subject to a variety of risks, including fluctuations in currency exchange rates, tariffs, import restrictions and other trade barriers, unexpected changes in regulatory requirements, longer accounts receivable payment cycles, potentially adverse tax consequences, and export license requirements. In addition, we are subject to the risks inherent in conducting business internationally, including political and economic instability and unexpected changes in diplomatic and trade relationships. In many markets where we operate business and cultural norms are different than those in the United States and practices that may violate laws and regulations applicable to us like the Foreign Corrupt Practices Act ("FCPA") and the UK Anti-Bribery Act ("UKBA") are more commonplace. Although we have implemented policies and procedures with the intention of ensuring compliance with these laws and regulations, our employees, contractors and agents, as well as channel partners involved in our international sales, may take actions in violation of our policies. Many of our vendors and strategic business allies also have international operations and are subject to the risks described above. Even if we are able to successfully manage the risks of international operations, our business may be adversely affected if one or more of our business partners are not able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successfully manage these risks. There can be no assurance that one or more of these factors will not have a material adverse effect on our business strategy and financial condition.</w:t>
      </w:r>
    </w:p>
    <w:p>
      <w:pPr>
        <w:spacing w:after="0" w:line="1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Our failure to comply effectively with regulatory laws pertaining to our foreign operations could have a material adverse effect on our revenue and profitability.</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are required to comply with U.S. government export regulations in the sale of our products to foreign customers, including requirements to properly classify and screen our products against a denied parties list prior to shipment. We are also required to comply with the provisions of the FCPA and all other anti-corruption laws, such as UKBA, of all other countries in which we do business, directly or indirectly, including compliance with the anti-bribery prohibitions and the accounting and recordkeeping requirements of this law. Violations of the FCPA or other similar laws could trigger sanctions, including ineligibility for U.S. government insurance and financing, as well as large fines. Failure to comply with the aforementioned regulations could also deter us from selling our products in international jurisdictions, which could have a material adverse effect on our revenue and profitability.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Reputational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intense competition from established companies that may have significant advantages over us and our products.</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market for our products is intensely competitive. Certain of our competitors and potential competitors have or may develop greater financial, technological, manufacturing, marketing and personnel resources than us either generally or relative to the product sets they sell in competition to us. Further, there are numerous companies competing with us in various segments of the market for our products, and their products may have advantages over our products in areas such as conformity to existing and emerging industry standards, interoperability with other products, management and security capabilities, performance, price, ease of use, scalability, reliability, flexibility, product features and technical support.</w:t>
      </w:r>
    </w:p>
    <w:p>
      <w:pPr>
        <w:spacing w:after="0" w:line="13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current and potential competitors have or may develop one or more of the following significant advantages over us in the product areas where they compete with us:</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tighter focus on an individual product or product category;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financial, technical and marketing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barriers to transition to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brand recognition across larger geographic regions;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comprehensive product features and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longer-standing cooperative relationships with OEM and end-user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superior customer service capacity and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operating history;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larger customer base.</w:t>
      </w:r>
    </w:p>
    <w:p>
      <w:pPr>
        <w:spacing w:after="0" w:line="19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cannot provide assurance that we will be able to compete successfully with our current and potential competitors. Such competitors may be able to more quickly develop or adapt to new or emerging technologies and changes in customer requirements or devote greater resources to the development, promotion and sale of their products. Additionally, it is probable that new competitors or new alliances among existing competitors could emerge and rapidly acquire significant market share.</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Our dependence on new product development and the rapid technological change that characterizes our industry make us susceptible to loss of market share resulting from competitors’ product introductions and enhancements, service capabilities and similar risks.</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industry is characterized by rapidly changing technologies, evolving industry standards, frequent new product introductions, short product life cycles in certain instances and rapidly changing customer requirements. The introduction of products and enhancements embodying new technologies that can disrupt one or more markets in which we compete and the emergence of new industry standards or regulations impacting our industry can render existing products obsolete or unmarketable.</w:t>
      </w:r>
    </w:p>
    <w:p>
      <w:pPr>
        <w:spacing w:after="0" w:line="16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future success will depend on our ability to enhance our existing products, to introduce new products to meet changing customer requirements and emerging technologies, and to demonstrate the performance advantages and cost-effectiveness of our products over competing products. Failure by us to modify our products to support new alternative technologies or failure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spacing w:after="0" w:line="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In addition, the future introductions or announcements of products by us or one of our competitors embodying new technologies or changes in industry standards or regulations or customer requirements could render our then-existing products 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product offerings by us or one or more of our competitors will not cause customers to defer their purchase of our existing products, which could cause our revenue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failure to compete successfully in our highly competitive market could result in reduced prices and loss of market share.</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market in which we operate is characterized by rapid technological advances and evolving industry standards. The market can be affected significantly by new product introductions and marketing activities of industry participants. In addition, the amount of competition we face in the marketplace may change and grow as the market for our industry grows and new entrants enter the marketplace. Present and future competitors may be able to identify new markets and develop products more quickly, which are superior to those developed by us. Such competitors may adapt new technologies faster, devote greater resources to research and development, promote products more aggressively and price products more competitively than us. Competition may also intensify, or we may no longer be able to compete effectively in the markets in which we compete.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intend to continue to devote significant resources to our research and development, which, if not successful, could cause a decline in our revenue and harm our business.</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intend to continue to devote significant resources to research and development in the coming years to enhance our existing product offerings and develop additional product offerings. For fiscal 2021, 2020, and 2019, respectively, our research and development expenses were 15.1%, 15.7% and 14.7% of our revenue. If we are unable to enhance existing products and develop new products, applications and services as a result of our research and development efforts, if we encounter delays in deploying these enhanced or new products, applications and services, or if the products, applications and services we enhance or develop are not successful, our business could be harmed. Even if we enhance existing products and develop new products, applications and services that are accepted by our target markets, the net revenue from these products, applications and services may not be sufficient to justify our investment in research and development.</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of our products, applications and services have been developed through a combination of internally developed technologies and acquired technologies. Our ability to continue to develop products, applications and services could be partially dependent on finding and acquiring new technologies in the marketplace. Even if we identify new technologies that we believe would be complementary to our internally developed technologies, we may not be successful in obtaining those technologies or integrating them effectively with our existing technologies.</w:t>
      </w:r>
    </w:p>
    <w:p>
      <w:pPr>
        <w:spacing w:after="0" w:line="13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i w:val="1"/>
          <w:iCs w:val="1"/>
          <w:color w:val="auto"/>
        </w:rPr>
        <w:t>Our ability to grow our business is dependent in part on strategic relationships we develop and maintain with third parties as well as our ability to integrate and assure use of our products and services in coordination with the products and services of certain strategic partners in a commercially acceptable manner.</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our ability to increase our sales depends in part on maintaining and strengthening relationships with parties such as telecommunications carriers, systems integrators, enterprise application providers, component providers and other strategic technology companies. Once a relationship is established, we likely will dedicate significant time and resources to it in an effort to advance our business interests and there is no assurance any strategic relationship will generate enough revenue to offset the significant resources we use to advance the relationship. Parties with whom we establish strategic relationships also work with companies that compete with us. We have limited, if any, control as to whether these parties devote adequate resources to promoting, selling, and implementing our products. Further, new or emerging technologies, technological trends or changes in customer requirements may result in certain companies with whom we maintain strategic relationships de-emphasizing their dealings with us or becoming potential competitors in the future. We also have limited, if any, control as to</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other business activities of these parties and we could experience reputational harm because of our association with such parties if they fail to execute on business initiatives, are accused of breaking the law or otherwise suffer reputational harm for other reasons. All of these factors could materially and adversely impact our business and results of operations.</w:t>
      </w:r>
    </w:p>
    <w:p>
      <w:pPr>
        <w:spacing w:after="0" w:line="1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some cases, we expect the establishment of a strategic relationship with a third party to result in integrations of our products or services with those of other parties. Identifying appropriate parties for these relationships as well as negotiating and documenting business agreements with them requires significant time and resources. We expect these agreements typically to be non-exclusive and not to prohibit the other party from working with our competitors or offering competing services. Once the relationship is established, we may encounter difficulties in combining our products and services in a commercially acceptable manner. We expect this dynamic, where our ability to generate sales is dependent on our products and services interacting with those sold by third parties, may become more common in the future. There can be no guarantee in any particular instance that we will be successful in making our products interact with those of other parties in a commercially acceptable manner and, even if we do, we cannot guarantee that the resulting products and services will be effectively marketed or sold via the relationship.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failure to anticipate or manage product transitions effectively could have a material adverse effect on our revenue and profitability.</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time to time, we or our competitors may announce new or enhanced products that may replace or shorten the life cycles of our existing products. Announcements of currently planned or other new or enhanced products may cause customers to defer or stop purchasing our products until these products become available. Furthermore, the introduction of new or enhanced products requires us to manage the transition from older product inventories and ensure that adequate supplies of new or enhanced products can be delivered to meet customer demand. Our failure to anticipate the revenue declines associated with older products or manage transitions from older products effectively could result in inventory obsolescence and also have a material adverse effect on our revenue and profitability.</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We are dependent on third parties to manufacture our products which could have adverse impacts on our business if such manufacturers encounter operating restraints or if we do not properly forecast customer demand.</w:t>
      </w:r>
    </w:p>
    <w:p>
      <w:pPr>
        <w:spacing w:after="0" w:line="13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reliant on third parties to manufacture our products in countries such as China, Mexico and Thailand. The ability of these manufacturers to provide us with the timely provision of finished products is subject to a number of disruptions beyond their control such as, among others: the availability of components from suppliers, labor shortages caused by the ongoing COVID-19 pandemic, energy shortages such as those recently encountered in China, changes in government regulations or other factors. If we do not properly forecast customer demands for products any lengthening in lead times or disruptions in service could result in lost revenues and adversely impact our business, results of operation, financial condition and prospects.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loss of key personnel could prevent us from executing our business strategy.</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and prospects depend to a significant degree upon the continuing contributions of our executive officers and key technical and other personnel. Competition for such personnel is intense, and in the current environment of large numbers of workers leaving their current employment for new opportunities, there can be no assurance that we will be successful in retaining qualified personnel. Failure to attract and retain key personnel could result in our failure to execute our business strategy.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and Market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consolidated operating results and financial condition may be adversely impacted by worldwide economic conditions and credit tightening.</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worldwide economic conditions experience a significant downturn, these conditions may make it difficult or impossible for our customers and suppliers to accurately forecast and plan future business activities, which may cause them to slow or suspend spending on products and services. Our customers may find it difficult to gain sufficient credit in a timely manner, which could result in an impairment of their ability to place orders with us or to make timely payments to us for previous purchases. If this occurs, our revenue may be reduced, thereby having a negative impact on our results of operations. In addition, we may be forced to increase our allowance for credit losses and our days sales outstanding may increase, which would have a negative impact on our cash position, liquidity and financial condition. To the extent we incur debt, we may be unable to adhere to financial covenants or to service the debt. We cannot predict either the timing or duration of an economic downturn in the economy, should one occur. Any downturn could have a material adverse impact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gross margins may be subject to decline.</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gross margins may be subject to declines which could decrease our overall profitability and impact our financial performance adversely. Some of the hardware products we sell are approaching the end of their product life cycles. These mature hardware products have sold historically at higher gross margins than our other product and service offerings. We expect this general trend of declining sales for many of our mature products to continue and the pace of the decline may accelerate. In addition, rising prices for goods and services due to inflation along with ongoing cost pressures in our industry create downward pressure on the prices at which we and other manufacturers can sell hardware products. We have indicated that we would be willing to realize lower levels of gross margins from customers in return for long-term, binding purchase commitments. If this strategy were successful, it could apply downward pressure on our gross margins. While part of our longer term strategy is to sell software applications and IoT solutions such as SmartSense by Digi® and our newly acquired Ventus offerings, which may provide recurring revenues at relatively high gross margins, these types of offerings are still at early stages of adoption by customers and their sales growth is not necessarily predictable or assured. As such, our gross margins may be subject to decline unless we can implement cost reduction initiatives effectively to offset the impact of these factors.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be subject to fluctuations based on the level of significant large project-based purchases.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 single customer has represented more than 10% of our revenue in any of the last three fiscal years. However, many of our customers make significant one-time hardware purchases for large projects that are not repeated. As a result, our revenue may be subject to significant fluctuations based on whether we are able to close significant project based sales opportunities. In addition, in our SmartSense by Digi® business certain customers have outsized deployments relative to other customers. It is possible we will see revenue fluctuations in this business based upon the scale of new deployments in different financial periods. Our Ventus operations could be subject to similar issues with respect to new or potential new customers. Our failure to complete one or a series of significant sales opportunities in a particular fiscal period could have a material adverse effect on our revenue for that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products are sold into mature markets, which could limit our ability to continue to generate revenue from these products.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Some of our hardware products are sold into mature markets that are characterized by a trend of declining demand. We have made targeted investments to provide enhanced and new products into these mature markets and believe this may mitigate declining demand. However, over the longer term, the overall market for these hardware products is expected to decrease due to the adoption of new technologies. As such, we expect that our revenue from these products will continue to decline over time. As a result, our future prospects depend in part on our ability to acquire or develop and successfully market additional products that address growth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Unanticipated changes in our tax rates could affect our future results.</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future effective tax rates could be favorably or unfavorably affected by unanticipated changes in the mix of earnings in countries with differing statutory tax rates, changes in the valuation of our deferred tax assets and liabilities, or by changes in tax laws or our interpretation of such laws. In addition, we may be subject to the examination of our income tax returns by the Internal Revenue Service and other U.S. and international tax authorities. We regularly assess the potential outcomes resulting from these examinations to determine the adequacy of our provision for income taxes. There can be no assurance that the outcomes from these examinations will not have an adverse effect on our consolidated operating results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additional tax liabilities.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income taxes in the United States and many foreign jurisdictions. Significant judgment is required in determining our worldwide provision for income taxes, including our reserves for uncertain tax positions. In the ordinary course of business, there are many transactions and calculations where the ultimate tax determination is uncertain. We regularly are under audit by tax authorities. Although we believe our tax estimates are reasonable, the final determination of tax audits could be materially different from our historical income tax provisions and accruals. The results of an audit could have a material effect on our consolidated financial position, results of operations, or cash flows in the period or periods for which that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Liquidity Risks</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Failure to comply with the covenants under our credit facility may have a material adverse effect on our ability to access additional capital and/or create an event of default.</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1, 2021, Digi entered into a second amended and restated credit agreement consisting of a $350 million term loan B secured loan (the "Term Loan") and a $35 million revolving credit facility (the "Revolving Credit Facility", and together with the Term Loan, the "Loan"). This Loan replaced our syndicated senior secured credit agreement with BMO that was entered into on March 15, 2021 and replaced the remaining balances of our term loan and revolver. The $35 million revolving credit facility, which presently is undrawn, includes a $10 million letter of credit subfacility and $10 million swingline subfacility. Amounts under the Term Loan will be repaid in quarterly installments on the last day of each fiscal quarter, with an annual amortization rate of 1%. The remaining outstanding balance under the Term Loan is due to be repaid in full after seven years.</w:t>
      </w:r>
    </w:p>
    <w:p>
      <w:pPr>
        <w:spacing w:after="0" w:line="13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on the Loan,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Term Loan contains some affirmative covenants and the Revolving Credit Facility contains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could adversely affect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conditions in the global credit markets may impair a portion of our investment portfolio.</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investment portfolio may consist of certificates of deposit, commercial paper, money market funds, corporate bonds and government municipal bonds. These marketable securities are classified as available-for-sale and are carried at fair market value. Some of our investments could experience reduced liquidity and could result in an impairment charge should the impairment be considered as other-than-temporary. This loss would be recorded in our consolidated statements of operations, which could materially adversely impact our consolidated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Cybersecurity Risks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are subject to various cybersecurity risks, which are particularly acute in cloud-based technologies that we and other third parties operate that form a part of our solutions. These risks may increase our costs and could damage our brand and reputation.</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we continue to direct a substantial portion of our sales and development efforts toward broader based solutions, such as SmartSense by Digi®, the Digi Remote Manager® and our newly acquired Ventus offerings, we expect to store, convey and potentially process significant amounts of data produced by devices. Further many of our business applications now exist within cloud platforms that are managed by third parties, which also adds risk from breach of third parties.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spacing w:after="0" w:line="15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privacy and data security issues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continues to increase and worldwide laws and regulations concerning the protection of information become more complex, the potential risks and costs of compliance to our business are expected to intensify.</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products operate with and are dependent on products and components across a broad ecosystem. If there is a security vulnerability in one of these components, and if there is a security exploit targeting it, we could face increased costs, reduced revenue, liability claims or damage to our reputation or competitive position.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compete could be jeopardized if we are unable to protect our intellectual property rights.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compete depends in part on our proprietary rights and technology. Our proprietary rights and technology are protected by a combination of copyrights, patents, trade secrets and trademarks. We enter into confidentiality agreements with our employees, and sometimes with our customers, potential customers and other third parties, and limit access to the distribution of our proprietary information. There can be no assurance that the steps taken by us in this regard will be adequate to prevent the misappropriation of our technology. Our pending patent applications may be denied and any patents, once issued, may be circumvented by our competitors. Furthermore, there can be no assurance that others will not develop technologies that are superior to our technologies. Despite our efforts to protect our proprietary rights, unauthorized parties may attempt to copy aspects of our products or to obtain and use information that we regard as proprietary.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spacing w:after="0" w:line="1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From time to time, we are subject to claims and litigation regarding intellectual property rights or other claims, which could seriously harm us and require us to incur significant costs.</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communications technology industry is characterized by frequent litigation regarding patent and other intellectual property rights. From time to time, we receive notification of a third-party claim that our products infringe intellectual property rights owned by others. Any litigation to determine the validity of third-party infringement claims, whether or not determined in our favor or settled by us, may be costly and divert the efforts and attention of our management and technical personnel from productive tasks. This could have a material adverse effect on our ability to operate our business and service the needs of our customers. There can be no assurance that any infringement claims by third parties, regardless if they have merit, will not materially adversely affect our business, operating results, financial condition or prospects. In the event of an adverse ruling in any such matter, we may be required to pay substantial damages, cease the manufacture, use and sale of infringing products, discontinue the use of certain processes or be required to obtain a license under the intellectual property rights of the third party claiming infringement. There can be no assurance that a license would be available on reasonable terms or at all. Any limitations on our ability to market our products, or delays and costs associated with redesigning our products or payments of license fees to third parties, or any failure by us to develop or license a substitute technology on commercially reasonable terms could have a material adverse effect on our business, operating results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Political Risks</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Our inability to obtain the appropriate telecommunications carrier certifications or approvals from governmental regulatory bodies could impede our ability to grow revenue in our wireless products.</w:t>
      </w:r>
    </w:p>
    <w:p>
      <w:pPr>
        <w:spacing w:after="0" w:line="13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sale of our wireless products in certain geographical markets is sometimes dependent on the ability to gain telecommunications carrier certifications and/or approvals by certain governmental bodies. Failure to obtain these approvals, or delays in receiving the approvals, could impact our ability to enter our targeted markets or to compete effectively or at all in these markets and could have an adverse impact on our business and prospects.</w:t>
      </w:r>
    </w:p>
    <w:p>
      <w:pPr>
        <w:spacing w:after="0" w:line="1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failure to comply effectively with the requirements of applicable environmental legislation and regulation could have a material adverse effect on our revenue and profitability.</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The European Union has issued two directives relating to chemical substances in electronic products. The Waste Electrical and Electronic Equipment Directive ("WEEE") makes producers of certain electrical and electronic equipment financially responsible for collection, reuse, recycling, treatment and disposal of equipment placed in the European Union market. The Restrictions of Hazardous Substances Directive ("RoHS") bans the use of certain hazardous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materials in electric and electrical equipment which are put on the market in the European Union. In the future, various countries including the United States may adopt further environmental compliance programs</w:t>
      </w:r>
      <w:r>
        <w:rPr>
          <w:rFonts w:ascii="Arial" w:cs="Arial" w:eastAsia="Arial" w:hAnsi="Arial"/>
          <w:sz w:val="17"/>
          <w:szCs w:val="17"/>
          <w:b w:val="1"/>
          <w:bCs w:val="1"/>
          <w:color w:val="auto"/>
        </w:rPr>
        <w:t>.</w:t>
      </w:r>
      <w:r>
        <w:rPr>
          <w:rFonts w:ascii="Arial" w:cs="Arial" w:eastAsia="Arial" w:hAnsi="Arial"/>
          <w:sz w:val="17"/>
          <w:szCs w:val="17"/>
          <w:color w:val="auto"/>
        </w:rPr>
        <w:t xml:space="preserve"> If we fail to comply with these regulations, we may not be able to sell our products in jurisdictions where these regulations apply, which could have a material adverse effect on our revenue and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Unsolicited takeover proposals, governance change proposals, proxy contests and resulting litigation may adversely impact our operations, create uncertainty and affect the market price and volatility of our securities.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fiscal 2017, we received an unsolicited takeover proposal and other companies in our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our ownership structure or operations, our review and consideration of such proposals may be a significant distraction for our management and employees, and could require us to expend significant time and resources. Such proposals may create uncertainty for our employees and this uncertainty may adversely affect our ability to retain key employees, to hire new talent or to complete acquisitions we may desire to make. Similar uncertainty among our customers, suppliers and other business partners could cause them to terminate, or not to renew or enter into, arrangements with us. Certain proposals may result in costly proxy contests or litigation that can disrupt our business operations or result in an adverse effect on our operating results. Management and employee distraction related to any such proposals also may adversely impact our ability to conduct our business optimally and pursue our strategic objectives. Such proposals, or their withdrawal, could create uncertainty among investors and potential investors as to our future direction and affect the market price of our common stock without regard to our operational or financial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provisions of the Delaware General Corporation Law and our charter documents have an anti-takeover effect.</w:t>
      </w:r>
    </w:p>
    <w:p>
      <w:pPr>
        <w:spacing w:after="0" w:line="18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There exist certain mechanisms under the Delaware General Corporation Law and our charter documents that may delay, defer or prevent a change of control. For instance, under Delaware law, we are prohibited from engaging in certain business combinations with interested stockholders for a period of three years after the date of the transaction in which the person became an interested stockholder unless certain requirements are met, and majority stockholder approval is required for certain business combination transactions with interested parties.</w:t>
      </w:r>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Certificate of Incorporation contains a "fair price" provision requiring majority stockholder approval for certain business combination transactions with interested parties, and this provision may not be changed without the vote of at least 80% of the outstanding shares of our voting stock. Other mechanisms in our charter documents may also delay, defer or prevent a change of control. For instance, our Certificate of Incorporation provides that our Board of Directors has authority to issue series of our preferred stock with such voting rights and other powers as the Board of Directors may determine. Furthermore, we have a classified board of directors, which means that our directors are divided into three classes that are elected to three-year terms on a staggered basis. Since the three-year terms of each class overlap the terms of the other classes of directors, the entire board of directors cannot be replaced in any one year. Under Delaware law, directors serving on a classified board may not be removed by shareholders except for cause. The effect of these anti-takeover provisions may deter business combination transactions not approved by our Board of Directors, including acquisitions that may offer a premium over the market price to some or all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been volatile and could continue to fluctuate in the future.</w:t>
      </w:r>
    </w:p>
    <w:p>
      <w:pPr>
        <w:spacing w:after="0" w:line="18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market price of our common stock, like that of many other high-technology companies, has fluctuated significantly and is likely to continue to fluctuate in the future. During fiscal 2021, the closing price of our common stock on the Nasdaq Global Select Market ranged from $14.73 to $25.41 per share. Our closing sale price on November 19, 2021 was $23.78 per share. Announcements by us or others regarding the receipt of customer orders, quarterly variations in operating results, departures of key personnel, acquisitions or divestitures, additional equity or debt financings, results of customer field trials, scientific discoveries, technological innovations, litigation, product developments, patent or proprietary rights, government regulation and general market conditions and risks may, for example, have a significant impact on the market price of our common stock.</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If our stock price declines over a sustained period of time, our profits significantly decrease or our acquired businesses do not attain results that were anticipated at the time of acquisition, we may need to recognize an impairment of our goodwill.</w:t>
      </w:r>
    </w:p>
    <w:p>
      <w:pPr>
        <w:spacing w:after="0" w:line="1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price of our common stock could decline. If such a decline continued over a sustained period of time, we could have an impairment of our goodwill. Our market value is dependent upon certain factors, including continued future growth of our products, services and solutions. If such growth does not materialize or our forecasts are not met (including forecasts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established at the time of acquisition), our profits could be significantly reduced, and our market value may decline, which could result in an impairment of our goodwill. As discussed in other risk factors, there could be circumstances beyond our control, such as impacts from the current COVID-19 pandemic that could exacerbate the conditions that would lead to such an impairment.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wireless communication networks owned and controlled by others.</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revenue could decline if we are unable to deliver continued access to digital cellular wireless carriers that we depend on to provide sufficient network capacity, reliability and security to our customers. Our financial condition could be impacted if our wireless carriers increase the prices of their services or suffer operational or technical failures.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could impact our supply chain and customers negatively resulting in an adverse impact to our revenue and profitability.</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of our components and other materials used in producing our products are from regions susceptible to natural disasters beyond our control, such as the COVID-19 pandemic. If we are unable to procure necessary materials, we could experience a disruption to our supply chain that would hinder our ability to produce our products in a timely manner. It also could cause us to seek other sources of supply which may be more costly or which we may not be able to procure on a timely basis. We also risk damage to any tooling, equipment or inventory at the supplier’s facilities. For instance, flooding in October 2011 and a fire in November 2014 disrupted the operations at one of our contract manufacturers in Thailand. In addition, our customers may not follow their normal purchasing patterns or temporarily cease purchasing from us due to impacts to their businesses in the region, creating unexpected fluctuations or decreases in our revenue and profitability. Natural disasters could have material adverse impacts on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40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ITEM 2. PROPERTIES</w:t>
            </w:r>
          </w:p>
        </w:tc>
        <w:tc>
          <w:tcPr>
            <w:tcW w:w="1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00" w:type="dxa"/>
            <w:vAlign w:val="bottom"/>
            <w:gridSpan w:val="9"/>
          </w:tcPr>
          <w:p>
            <w:pPr>
              <w:spacing w:after="0"/>
              <w:rPr>
                <w:sz w:val="20"/>
                <w:szCs w:val="20"/>
                <w:color w:val="auto"/>
              </w:rPr>
            </w:pPr>
            <w:r>
              <w:rPr>
                <w:rFonts w:ascii="Arial" w:cs="Arial" w:eastAsia="Arial" w:hAnsi="Arial"/>
                <w:sz w:val="18"/>
                <w:szCs w:val="18"/>
                <w:color w:val="auto"/>
                <w:w w:val="91"/>
              </w:rPr>
              <w:t>The following table contains a listing of our property locations that are material to us as of September 30, 2021: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auto"/>
              </w:rPr>
              <w:t>Location of Property</w:t>
            </w: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Use of Facility</w:t>
            </w:r>
          </w:p>
        </w:tc>
        <w:tc>
          <w:tcPr>
            <w:tcW w:w="1820" w:type="dxa"/>
            <w:vAlign w:val="bottom"/>
            <w:gridSpan w:val="3"/>
            <w:vMerge w:val="restart"/>
          </w:tcPr>
          <w:p>
            <w:pPr>
              <w:ind w:left="240"/>
              <w:spacing w:after="0"/>
              <w:rPr>
                <w:sz w:val="20"/>
                <w:szCs w:val="20"/>
                <w:color w:val="auto"/>
              </w:rPr>
            </w:pPr>
            <w:r>
              <w:rPr>
                <w:rFonts w:ascii="Arial" w:cs="Arial" w:eastAsia="Arial" w:hAnsi="Arial"/>
                <w:sz w:val="18"/>
                <w:szCs w:val="18"/>
                <w:color w:val="auto"/>
              </w:rPr>
              <w:t>Segment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Approximate</w:t>
            </w:r>
          </w:p>
        </w:tc>
        <w:tc>
          <w:tcPr>
            <w:tcW w:w="1800" w:type="dxa"/>
            <w:vAlign w:val="bottom"/>
            <w:gridSpan w:val="5"/>
          </w:tcPr>
          <w:p>
            <w:pPr>
              <w:jc w:val="center"/>
              <w:spacing w:after="0"/>
              <w:rPr>
                <w:sz w:val="20"/>
                <w:szCs w:val="20"/>
                <w:color w:val="auto"/>
              </w:rPr>
            </w:pPr>
            <w:r>
              <w:rPr>
                <w:rFonts w:ascii="Arial" w:cs="Arial" w:eastAsia="Arial" w:hAnsi="Arial"/>
                <w:sz w:val="18"/>
                <w:szCs w:val="18"/>
                <w:color w:val="auto"/>
                <w:w w:val="89"/>
              </w:rPr>
              <w:t>Ownership or Lease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gridSpan w:val="3"/>
            <w:vMerge w:val="continue"/>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71"/>
              </w:rPr>
              <w:t>Square Footage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160"/>
              <w:spacing w:after="0" w:line="156" w:lineRule="exact"/>
              <w:rPr>
                <w:sz w:val="20"/>
                <w:szCs w:val="20"/>
                <w:color w:val="auto"/>
              </w:rPr>
            </w:pPr>
            <w:r>
              <w:rPr>
                <w:rFonts w:ascii="Arial" w:cs="Arial" w:eastAsia="Arial" w:hAnsi="Arial"/>
                <w:sz w:val="18"/>
                <w:szCs w:val="18"/>
                <w:color w:val="auto"/>
                <w:w w:val="92"/>
              </w:rPr>
              <w:t>Expiration Date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Hopkins, MN</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Research &amp; development, sales, sales support,</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59,497</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January 2032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administration</w:t>
            </w: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Eden Prairie, MN</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Manufacturing and warehousing</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58,000</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Sandy, UT</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Sales, technical support, research &amp; development,</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35,466</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December 2030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 manufacturing and warehousing</w:t>
            </w: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Boston, MA</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Research &amp; development, sales, sales support and</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Solutions</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13,302</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Queensland, AUS</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Research &amp; development</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12,422</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November 2023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Mishawaka, IN</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technical support and administration</w:t>
            </w: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IoT Solutions</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7,829</w:t>
            </w:r>
          </w:p>
        </w:tc>
        <w:tc>
          <w:tcPr>
            <w:tcW w:w="18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Ismaning, Germany</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Sales, sales support and administration</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6,878</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September 2022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Edison, NJ</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Administration</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6,223</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March 2025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Tampa, FL</w:t>
            </w: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Sales, sales support, marketing, research &amp;</w:t>
            </w:r>
          </w:p>
        </w:tc>
        <w:tc>
          <w:tcPr>
            <w:tcW w:w="18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IoT Products &amp;</w:t>
            </w:r>
          </w:p>
        </w:tc>
        <w:tc>
          <w:tcPr>
            <w:tcW w:w="1340" w:type="dxa"/>
            <w:vAlign w:val="bottom"/>
            <w:gridSpan w:val="5"/>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3,609</w:t>
            </w:r>
          </w:p>
        </w:tc>
        <w:tc>
          <w:tcPr>
            <w:tcW w:w="180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rPr>
              <w:t>August 2025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development, technical support and administration</w:t>
            </w:r>
          </w:p>
        </w:tc>
        <w:tc>
          <w:tcPr>
            <w:tcW w:w="1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locations, we have various other locations throughout the world that are not deemed to be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2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the normal course of business, we are subject to various claims and litigation, which may include, but are not limited to, patent infringement and intellectual property claims. While we are unable to predict the outcome of any potential claims or litigation due to the inherent unpredictability of these matters, we believe that it is possible that we could, in the future, incur judgments or enter into settlements of claims that could have a material adverse effect on our operations in any particular period. See </w:t>
      </w:r>
      <w:hyperlink w:anchor="page73">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annual report for additional information relating to legal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trades under the symbol DGII on the Nasdaq Global Select Market tier of the Nasdaq Stock Market LLC. On November 19, 2021 there were 107 stockholders of record.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never paid cash dividends on our common stock. Our Board of Directors presently intends to retain all earnings for use in our business and does not anticipate paying cash dividends in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8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presents the information with respect to purchases made by or on behalf of Digi International Inc. or any “affiliated purchaser” (as defined in Rule 10b-18(a)(3) under the Securities Exchange Act of 1934), of our common stock during the fourth quarter of fiscal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1"/>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 Shares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w w:val="97"/>
              </w:rPr>
              <w:t>Maximum Dollar Value</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Average Price</w:t>
            </w: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6"/>
              </w:rPr>
              <w:t>Purchased as Part of a</w:t>
            </w:r>
          </w:p>
        </w:tc>
        <w:tc>
          <w:tcPr>
            <w:tcW w:w="18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3"/>
              </w:rPr>
              <w:t>of Shares that May Yet</w:t>
            </w:r>
          </w:p>
        </w:tc>
        <w:tc>
          <w:tcPr>
            <w:tcW w:w="0" w:type="dxa"/>
            <w:vAlign w:val="bottom"/>
          </w:tcPr>
          <w:p>
            <w:pPr>
              <w:spacing w:after="0"/>
              <w:rPr>
                <w:sz w:val="1"/>
                <w:szCs w:val="1"/>
                <w:color w:val="auto"/>
              </w:rPr>
            </w:pPr>
          </w:p>
        </w:tc>
      </w:tr>
      <w:tr>
        <w:trPr>
          <w:trHeight w:val="176"/>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color w:val="auto"/>
              </w:rPr>
              <w:t>Period</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Publicly Announced</w:t>
            </w:r>
          </w:p>
        </w:tc>
        <w:tc>
          <w:tcPr>
            <w:tcW w:w="18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0"/>
              </w:rPr>
              <w:t>Be Purchased Under the</w:t>
            </w: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Paid per Share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August 1, 2021 - August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6,679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520" w:hanging="328"/>
        <w:spacing w:after="0" w:line="277"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reported were forfeited by employees in connection with the satisfaction of tax withholding obligations related to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w:t>
      </w:r>
    </w:p>
    <w:p>
      <w:pPr>
        <w:spacing w:after="0" w:line="202"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The graph below compares the total cumulative stockholders’ return on our common stock for the period from the close of the Nasdaq Stock Market - U.S. Companies on September 30, 2016 to September 30, 2021, the last day of fiscal 2021, with the total cumulative return for the Nasdaq U.S. Benchmark TR Index (the "U.S. Benchmark Index") and the Nasdaq Telecommunications Index (the "Peer Index") over the same period. We have determined that our line of business is mostly comparable to those companies in the Peer Index. The index level for the graph and table was set to $100 on September 30, 2016, for our common stock, the U.S. Benchmark Index and the Peer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-15875</wp:posOffset>
            </wp:positionV>
            <wp:extent cx="4286250" cy="257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FY16</w:t>
            </w:r>
          </w:p>
        </w:tc>
        <w:tc>
          <w:tcPr>
            <w:tcW w:w="26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FY17</w:t>
            </w:r>
          </w:p>
        </w:tc>
        <w:tc>
          <w:tcPr>
            <w:tcW w:w="3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FY18</w:t>
            </w:r>
          </w:p>
        </w:tc>
        <w:tc>
          <w:tcPr>
            <w:tcW w:w="28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FY19</w:t>
            </w:r>
          </w:p>
        </w:tc>
        <w:tc>
          <w:tcPr>
            <w:tcW w:w="3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FY20</w:t>
            </w:r>
          </w:p>
        </w:tc>
        <w:tc>
          <w:tcPr>
            <w:tcW w:w="280" w:type="dxa"/>
            <w:vAlign w:val="bottom"/>
          </w:tcPr>
          <w:p>
            <w:pPr>
              <w:spacing w:after="0"/>
              <w:rPr>
                <w:sz w:val="18"/>
                <w:szCs w:val="18"/>
                <w:color w:val="auto"/>
              </w:rPr>
            </w:pPr>
          </w:p>
        </w:tc>
        <w:tc>
          <w:tcPr>
            <w:tcW w:w="820" w:type="dxa"/>
            <w:vAlign w:val="bottom"/>
            <w:gridSpan w:val="4"/>
          </w:tcPr>
          <w:p>
            <w:pPr>
              <w:ind w:left="100"/>
              <w:spacing w:after="0"/>
              <w:rPr>
                <w:sz w:val="20"/>
                <w:szCs w:val="20"/>
                <w:color w:val="auto"/>
              </w:rPr>
            </w:pPr>
            <w:r>
              <w:rPr>
                <w:rFonts w:ascii="Arial" w:cs="Arial" w:eastAsia="Arial" w:hAnsi="Arial"/>
                <w:sz w:val="18"/>
                <w:szCs w:val="18"/>
                <w:color w:val="auto"/>
              </w:rPr>
              <w:t>FY21</w:t>
            </w: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 International Inc.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92.98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119.47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184.82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Nasdaq U.S. Benchmark TR Index</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118.72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144.00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166.26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219.50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Telecommunications Index</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101.17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119.45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135.83</w:t>
            </w:r>
          </w:p>
        </w:tc>
        <w:tc>
          <w:tcPr>
            <w:tcW w:w="20" w:type="dxa"/>
            <w:vAlign w:val="bottom"/>
          </w:tcPr>
          <w:p>
            <w:pPr>
              <w:spacing w:after="0"/>
              <w:rPr>
                <w:sz w:val="19"/>
                <w:szCs w:val="19"/>
                <w:color w:val="auto"/>
              </w:rPr>
            </w:pPr>
          </w:p>
        </w:tc>
      </w:tr>
      <w:tr>
        <w:trPr>
          <w:trHeight w:val="864"/>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000" w:type="dxa"/>
            <w:vAlign w:val="bottom"/>
            <w:gridSpan w:val="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4000" w:type="dxa"/>
            <w:vAlign w:val="bottom"/>
            <w:gridSpan w:val="5"/>
          </w:tcPr>
          <w:p>
            <w:pPr>
              <w:spacing w:after="0"/>
              <w:rPr>
                <w:sz w:val="20"/>
                <w:szCs w:val="20"/>
                <w:color w:val="auto"/>
              </w:rPr>
            </w:pPr>
            <w:r>
              <w:rPr>
                <w:rFonts w:ascii="Arial" w:cs="Arial" w:eastAsia="Arial" w:hAnsi="Arial"/>
                <w:sz w:val="18"/>
                <w:szCs w:val="18"/>
                <w:b w:val="1"/>
                <w:bCs w:val="1"/>
                <w:color w:val="auto"/>
              </w:rPr>
              <w:t>ITEM 6. SELECTED FINANCIAL DATA</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20" w:type="dxa"/>
            <w:vAlign w:val="bottom"/>
            <w:gridSpan w:val="9"/>
          </w:tcPr>
          <w:p>
            <w:pPr>
              <w:spacing w:after="0"/>
              <w:rPr>
                <w:sz w:val="20"/>
                <w:szCs w:val="20"/>
                <w:color w:val="auto"/>
              </w:rPr>
            </w:pPr>
            <w:r>
              <w:rPr>
                <w:rFonts w:ascii="Arial" w:cs="Arial" w:eastAsia="Arial" w:hAnsi="Arial"/>
                <w:sz w:val="18"/>
                <w:szCs w:val="18"/>
                <w:color w:val="auto"/>
                <w:w w:val="89"/>
              </w:rPr>
              <w:t>(in thousands, except per common share data amounts and number of employees)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For Fiscal Years Ended September 30,</w:t>
            </w: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4"/>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166,657</w:t>
            </w:r>
          </w:p>
        </w:tc>
        <w:tc>
          <w:tcPr>
            <w:tcW w:w="100" w:type="dxa"/>
            <w:vAlign w:val="bottom"/>
          </w:tcPr>
          <w:p>
            <w:pPr>
              <w:spacing w:after="0"/>
              <w:rPr>
                <w:sz w:val="17"/>
                <w:szCs w:val="17"/>
                <w:color w:val="auto"/>
              </w:rPr>
            </w:pPr>
          </w:p>
        </w:tc>
        <w:tc>
          <w:tcPr>
            <w:tcW w:w="46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143,972</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119,035</w:t>
            </w:r>
          </w:p>
        </w:tc>
        <w:tc>
          <w:tcPr>
            <w:tcW w:w="12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109,054</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87,233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Restructuring charges (reversals)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Income tax (benefit) expense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87"/>
              </w:rPr>
              <w:t>Balance sheet data as of September 30,</w:t>
            </w: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w w:val="93"/>
              </w:rPr>
              <w:t>Working capital (current assets less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187,717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148,089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126,473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155,911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45,799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58,980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gridSpan w:val="4"/>
          </w:tcPr>
          <w:p>
            <w:pPr>
              <w:spacing w:after="0" w:line="176" w:lineRule="exact"/>
              <w:rPr>
                <w:sz w:val="20"/>
                <w:szCs w:val="20"/>
                <w:color w:val="auto"/>
              </w:rPr>
            </w:pPr>
            <w:r>
              <w:rPr>
                <w:rFonts w:ascii="Arial" w:cs="Arial" w:eastAsia="Arial" w:hAnsi="Arial"/>
                <w:sz w:val="18"/>
                <w:szCs w:val="18"/>
                <w:color w:val="auto"/>
                <w:w w:val="95"/>
              </w:rPr>
              <w:t>Book value per common share (stockholders' equity</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5"/>
                <w:szCs w:val="15"/>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divided by outstanding shares)</w:t>
            </w: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Number of employees as of September 30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right="160" w:hanging="328"/>
        <w:spacing w:after="0" w:line="25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 fiscal 2021, we recorded discrete net tax benefits of $0.5 million, in fiscal 2020, we recorded discrete net tax benefits of $1.2 million and in fiscal 2019 we recorded discrete net tax expense of $0.5 million (see </w:t>
      </w:r>
      <w:hyperlink w:anchor="page66">
        <w:r>
          <w:rPr>
            <w:rFonts w:ascii="Arial" w:cs="Arial" w:eastAsia="Arial" w:hAnsi="Arial"/>
            <w:sz w:val="16"/>
            <w:szCs w:val="16"/>
            <w:u w:val="single" w:color="auto"/>
            <w:color w:val="0000FF"/>
          </w:rPr>
          <w:t>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In fiscal 2018, we recorded net tax benefits of $1.5 million, primarily related to the enactment of the Tax Cuts &amp; Jobs Act. In fiscal 2017, we recorded net tax benefits of $1.0 million primarily from the reversal of tax reserves due to the expiration of statute of limitations from U.S. and foreign tax jurisdictions.</w:t>
      </w:r>
    </w:p>
    <w:p>
      <w:pPr>
        <w:spacing w:after="0" w:line="2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Earnings per share are calculated by line item and may not add due to the use of rounded amounts.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management’s discussion and analysis should be read in conjunction with our consolidated financial statements and other information in this Annual Report on Form 10-K.</w:t>
      </w:r>
    </w:p>
    <w:p>
      <w:pPr>
        <w:spacing w:after="0" w:line="130" w:lineRule="exact"/>
        <w:rPr>
          <w:sz w:val="20"/>
          <w:szCs w:val="20"/>
          <w:color w:val="auto"/>
        </w:rPr>
      </w:pPr>
    </w:p>
    <w:p>
      <w:pPr>
        <w:ind w:right="34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We have omitted discussion of the earliest of the three years covered by our consolidated financial statements presented in this report because that disclosure was already included in our Annual Report on </w:t>
      </w:r>
      <w:hyperlink r:id="rId41">
        <w:r>
          <w:rPr>
            <w:rFonts w:ascii="Arial" w:cs="Arial" w:eastAsia="Arial" w:hAnsi="Arial"/>
            <w:sz w:val="16"/>
            <w:szCs w:val="16"/>
            <w:u w:val="single" w:color="auto"/>
            <w:color w:val="0000FF"/>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fiscal 2020, filed with the SEC on November 25, 2020. You are encouraged to reference Part II, Item 7, within that report, for a discussion of our financial condition and result of operations for fiscal 2019 compared to fiscal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discussion contains “forward-looking statements” within the meaning of the Private Securities Litigation Reform Act of 1995. All statements, other than statements of historical fact are forward-looking statements. Words such as "assume," "believe," "anticipate," "intend," "estimate," "target," "may," "will," "expect," "plan," "potential," "project," "should," or "continue" or the negative thereof or other expressions, which are predictions of or indicate future events and trends and which do not relate to historical matters, identify forward-looking statements.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COVID-19 pandemic and efforts to mitigate the same, risks related to the global economic downturn that commenced during the COVID-19 pandemic and the ability of companies like us to operate a global business in such conditions, the impacts of the present global supply chain and transportation difficulties affecting business globally,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defend or settle satisfactorily any litigation,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the ability to achieve the anticipated benefits and synergies associated with acquisitions or divestitures and changes in our level of revenue or profitability which can fluctuate for many reasons beyond our control.</w:t>
      </w:r>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and other risks, uncertainties and assumptions identified from time to time in our filings with the United States Securities and Exchange Commission, including without limitation, those set forth in Item 1A, Risk Factors, of this Annual Report on Form 10-K and subsequent other quarterly filings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NON-GAAP FINANCIAL MEASURES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Non-GAAP measures are not substitutes for GAAP measures for the purpose of analyzing financial performance. The disclosure of these measures does not reflect all charges and gains that were actually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our key operating objectives included:</w:t>
      </w:r>
    </w:p>
    <w:p>
      <w:pPr>
        <w:spacing w:after="0" w:line="1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growth of our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that is the base of our IoT Solutions segment;</w:t>
      </w:r>
    </w:p>
    <w:p>
      <w:pPr>
        <w:spacing w:after="0" w:line="6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growth within our IoT Products &amp; Services segment through new product introductions;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identification of strategic growth initiatives through acquisition.</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course of fiscal 2021, the supply chain difficulties presently impacting businesses globally began to affect our business significantly. We devoted significant time and resources towards mitigating these impacts during the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fiscal 2021 results:</w:t>
      </w:r>
    </w:p>
    <w:p>
      <w:pPr>
        <w:spacing w:after="0" w:line="117" w:lineRule="exact"/>
        <w:rPr>
          <w:sz w:val="20"/>
          <w:szCs w:val="20"/>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revenue was $308.6 million, an increase of 11% over fiscal 2020. This increase was driven by incremental revenue from console servers, embedded products, subscription services and hardware installations.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gross profit was $166.7 million, an increase of 16% over fiscal 2020. This increase was driven by increased revenue and incremental gross profit from Console Server and favorable changes in customer and product mix.</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operating income was $10.5 million, compared to $11.3 million for fiscal 2020, a decrease of 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was $10.4 million, compared to net income of $8.4 million for fiscal 2020, an increase of 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earnings per share was $0.31, compared to $0.28, an increase of 11%.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was $48.3 million, or, 15.6% of revenue, compared to $40.2 million or 14.4% of revenue in fiscal 2020.</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net income and adjusted net income per share was $36.1 million, or $1.08 per diluted share, compared to $29.0 million, or $0.98 per diluted share, an increase of 10%.</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of Haxiot and Ctek were completed and Ventus was confirmed as an actionable acquisition target in fiscal 2021. We completed the acquisition of Ventus in the first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trends regarding our existing business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trends affected our financial performance in fiscal 2021 and 2020, and we expect these trends will continue to impact our results in the future:</w:t>
      </w:r>
    </w:p>
    <w:p>
      <w:pPr>
        <w:spacing w:after="0" w:line="62" w:lineRule="exact"/>
        <w:rPr>
          <w:sz w:val="20"/>
          <w:szCs w:val="20"/>
          <w:color w:val="auto"/>
        </w:rPr>
      </w:pPr>
    </w:p>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believe the market for IoT products and related services is in the midst of a long-term expansion. We believe our IoT Products &amp; Services business is positioned for modest revenue and profitability growth and that our IoT Solutions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business is positioned for more significant revenue growth given the large total addressable market for condition monitoring and asset tracking services that is in earlier stages of adoption.</w:t>
      </w:r>
    </w:p>
    <w:p>
      <w:pPr>
        <w:spacing w:after="0" w:line="62" w:lineRule="exact"/>
        <w:rPr>
          <w:sz w:val="20"/>
          <w:szCs w:val="20"/>
          <w:color w:val="auto"/>
        </w:rPr>
      </w:pPr>
    </w:p>
    <w:p>
      <w:pPr>
        <w:ind w:left="660" w:right="1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recurring revenue from subscription and cloud monitoring services becomes a greater portion of our overall revenue, we expect gross margins to increase as the revenue of incremental subscriptions is not offset at the same rate as expected increases in costs associated with implementing new subscribers.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selected information derived from our consolidated statements of operations, expressed as a percentage of revenue and as a percentage of change from year-to-year for the years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Year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89"/>
              </w:rPr>
              <w:t>September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32"/>
        </w:trPr>
        <w:tc>
          <w:tcPr>
            <w:tcW w:w="7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1"/>
                <w:szCs w:val="11"/>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4"/>
                <w:szCs w:val="14"/>
                <w:color w:val="auto"/>
                <w:w w:val="92"/>
              </w:rPr>
              <w:t>2021 compared to</w:t>
            </w:r>
          </w:p>
        </w:tc>
        <w:tc>
          <w:tcPr>
            <w:tcW w:w="0" w:type="dxa"/>
            <w:vAlign w:val="bottom"/>
          </w:tcPr>
          <w:p>
            <w:pPr>
              <w:spacing w:after="0"/>
              <w:rPr>
                <w:sz w:val="1"/>
                <w:szCs w:val="1"/>
                <w:color w:val="auto"/>
              </w:rPr>
            </w:pPr>
          </w:p>
        </w:tc>
      </w:tr>
      <w:tr>
        <w:trPr>
          <w:trHeight w:val="186"/>
        </w:trPr>
        <w:tc>
          <w:tcPr>
            <w:tcW w:w="7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86"/>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 of sales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expenses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1"/>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color w:val="auto"/>
                <w:w w:val="99"/>
              </w:rPr>
              <w:t>Year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0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340" w:type="dxa"/>
            <w:vAlign w:val="bottom"/>
          </w:tcPr>
          <w:p>
            <w:pPr>
              <w:spacing w:after="0"/>
              <w:rPr>
                <w:sz w:val="10"/>
                <w:szCs w:val="10"/>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2021</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right"/>
              <w:ind w:right="168"/>
              <w:spacing w:after="0" w:line="122" w:lineRule="exact"/>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186"/>
        </w:trPr>
        <w:tc>
          <w:tcPr>
            <w:tcW w:w="50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86"/>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Segment: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IoT Products &amp; Services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264,173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85.6 %</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249,530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44,459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29,741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86"/>
        </w:trPr>
        <w:tc>
          <w:tcPr>
            <w:tcW w:w="5000" w:type="dxa"/>
            <w:vAlign w:val="bottom"/>
            <w:gridSpan w:val="2"/>
          </w:tcPr>
          <w:p>
            <w:pPr>
              <w:ind w:left="220"/>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308,632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279,271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w:t>
      </w:r>
      <w:r>
        <w:rPr>
          <w:rFonts w:ascii="Arial" w:cs="Arial" w:eastAsia="Arial" w:hAnsi="Arial"/>
          <w:sz w:val="18"/>
          <w:szCs w:val="18"/>
          <w:color w:val="auto"/>
        </w:rPr>
        <w:t>5.9%</w:t>
      </w:r>
      <w:r>
        <w:rPr>
          <w:rFonts w:ascii="Arial" w:cs="Arial" w:eastAsia="Arial" w:hAnsi="Arial"/>
          <w:sz w:val="18"/>
          <w:szCs w:val="18"/>
          <w:i w:val="1"/>
          <w:iCs w:val="1"/>
          <w:color w:val="auto"/>
        </w:rPr>
        <w:t xml:space="preserve"> increase in IoT Products &amp; Services revenue in fiscal 2021 from fiscal 2020 primarily was the result of:</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increased sales of our console servers and embedded products.</w:t>
      </w:r>
    </w:p>
    <w:p>
      <w:pPr>
        <w:spacing w:after="0" w:line="200" w:lineRule="exact"/>
        <w:rPr>
          <w:sz w:val="20"/>
          <w:szCs w:val="20"/>
          <w:color w:val="auto"/>
        </w:rPr>
      </w:pPr>
    </w:p>
    <w:p>
      <w:pPr>
        <w:spacing w:after="0" w:line="241" w:lineRule="exact"/>
        <w:rPr>
          <w:sz w:val="20"/>
          <w:szCs w:val="20"/>
          <w:color w:val="auto"/>
        </w:rPr>
      </w:pPr>
    </w:p>
    <w:p>
      <w:pPr>
        <w:ind w:left="660" w:right="480" w:hanging="328"/>
        <w:spacing w:after="0" w:line="277"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decreased sales of our cellular routers in the government transit sector primarily related to an existing customer in the prior year that was not repeated this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49.5% increase in IoT Solutions revenue in fiscal 2021 from fiscal 2020 primarily was the result of:</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new hardware installations with new and existing customers; and</w:t>
      </w:r>
    </w:p>
    <w:p>
      <w:pPr>
        <w:spacing w:after="0" w:line="117" w:lineRule="exact"/>
        <w:rPr>
          <w:rFonts w:ascii="Arial" w:cs="Arial" w:eastAsia="Arial" w:hAnsi="Arial"/>
          <w:sz w:val="18"/>
          <w:szCs w:val="18"/>
          <w:i w:val="1"/>
          <w:iCs w:val="1"/>
          <w:color w:val="auto"/>
        </w:rPr>
      </w:pPr>
    </w:p>
    <w:p>
      <w:pPr>
        <w:ind w:left="660" w:right="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 recurring revenue from subscription and cloud monitoring services as we served nearly 81,000 sites at September 30, 2021 compared to just over 70,000 sites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AND 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Below are our segments' cost of goods sold and gross profit as a percentage of their respective total 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4"/>
                <w:szCs w:val="14"/>
                <w:color w:val="auto"/>
                <w:w w:val="99"/>
              </w:rPr>
              <w:t>Year ended September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Basis point</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61"/>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320" w:type="dxa"/>
            <w:vAlign w:val="bottom"/>
          </w:tcPr>
          <w:p>
            <w:pPr>
              <w:spacing w:after="0"/>
              <w:rPr>
                <w:sz w:val="5"/>
                <w:szCs w:val="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2021</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2020</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86"/>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Goods Sold</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gridSpan w:val="2"/>
          </w:tcPr>
          <w:p>
            <w:pPr>
              <w:ind w:left="140"/>
              <w:spacing w:after="0"/>
              <w:rPr>
                <w:sz w:val="20"/>
                <w:szCs w:val="20"/>
                <w:color w:val="auto"/>
              </w:rPr>
            </w:pPr>
            <w:r>
              <w:rPr>
                <w:rFonts w:ascii="Arial" w:cs="Arial" w:eastAsia="Arial" w:hAnsi="Arial"/>
                <w:sz w:val="14"/>
                <w:szCs w:val="14"/>
                <w:color w:val="auto"/>
              </w:rPr>
              <w:t>IoT Products &amp; Services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119,701</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45.3 %</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120,181</w:t>
            </w:r>
          </w:p>
        </w:tc>
        <w:tc>
          <w:tcPr>
            <w:tcW w:w="5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48.2 %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22,274</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50.1 %</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15,118</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5020" w:type="dxa"/>
            <w:vAlign w:val="bottom"/>
            <w:gridSpan w:val="2"/>
          </w:tcPr>
          <w:p>
            <w:pPr>
              <w:ind w:left="220"/>
              <w:spacing w:after="0"/>
              <w:rPr>
                <w:sz w:val="20"/>
                <w:szCs w:val="20"/>
                <w:color w:val="auto"/>
              </w:rPr>
            </w:pPr>
            <w:r>
              <w:rPr>
                <w:rFonts w:ascii="Arial" w:cs="Arial" w:eastAsia="Arial" w:hAnsi="Arial"/>
                <w:sz w:val="14"/>
                <w:szCs w:val="14"/>
                <w:color w:val="auto"/>
              </w:rPr>
              <w:t>Total cost of goods sold</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141,975</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46.0 %</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135,299</w:t>
            </w:r>
          </w:p>
        </w:tc>
        <w:tc>
          <w:tcPr>
            <w:tcW w:w="5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48.4 %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4"/>
                <w:szCs w:val="14"/>
                <w:color w:val="auto"/>
                <w:w w:val="99"/>
              </w:rPr>
              <w:t>Year ended September 30,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Basis point</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61"/>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320" w:type="dxa"/>
            <w:vAlign w:val="bottom"/>
          </w:tcPr>
          <w:p>
            <w:pPr>
              <w:spacing w:after="0"/>
              <w:rPr>
                <w:sz w:val="5"/>
                <w:szCs w:val="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2021</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2020</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86"/>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gridSpan w:val="2"/>
          </w:tcPr>
          <w:p>
            <w:pPr>
              <w:ind w:left="140"/>
              <w:spacing w:after="0"/>
              <w:rPr>
                <w:sz w:val="20"/>
                <w:szCs w:val="20"/>
                <w:color w:val="auto"/>
              </w:rPr>
            </w:pPr>
            <w:r>
              <w:rPr>
                <w:rFonts w:ascii="Arial" w:cs="Arial" w:eastAsia="Arial" w:hAnsi="Arial"/>
                <w:sz w:val="14"/>
                <w:szCs w:val="14"/>
                <w:color w:val="auto"/>
              </w:rPr>
              <w:t>IoT Products &amp; Services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144,472</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54.7 %</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129,349</w:t>
            </w:r>
          </w:p>
        </w:tc>
        <w:tc>
          <w:tcPr>
            <w:tcW w:w="5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51.8 %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22,185</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49.9 %</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14,623</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5020" w:type="dxa"/>
            <w:vAlign w:val="bottom"/>
            <w:gridSpan w:val="2"/>
          </w:tcPr>
          <w:p>
            <w:pPr>
              <w:ind w:left="220"/>
              <w:spacing w:after="0"/>
              <w:rPr>
                <w:sz w:val="20"/>
                <w:szCs w:val="20"/>
                <w:color w:val="auto"/>
              </w:rPr>
            </w:pPr>
            <w:r>
              <w:rPr>
                <w:rFonts w:ascii="Arial" w:cs="Arial" w:eastAsia="Arial" w:hAnsi="Arial"/>
                <w:sz w:val="14"/>
                <w:szCs w:val="14"/>
                <w:color w:val="auto"/>
              </w:rPr>
              <w:t>Total gross profit</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166,657</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54.0 %</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143,972</w:t>
            </w:r>
          </w:p>
        </w:tc>
        <w:tc>
          <w:tcPr>
            <w:tcW w:w="5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51.6 %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290 basis point increase in IoT Products &amp; Services gross profit primarily was the result of:</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incremental gross profit;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favorable product and customer mix within and among our cellular router, embedded and infrastructure management products.</w:t>
      </w:r>
    </w:p>
    <w:p>
      <w:pPr>
        <w:spacing w:after="0" w:line="200" w:lineRule="exact"/>
        <w:rPr>
          <w:sz w:val="20"/>
          <w:szCs w:val="20"/>
          <w:color w:val="auto"/>
        </w:rPr>
      </w:pPr>
    </w:p>
    <w:p>
      <w:pPr>
        <w:spacing w:after="0" w:line="241" w:lineRule="exact"/>
        <w:rPr>
          <w:sz w:val="20"/>
          <w:szCs w:val="20"/>
          <w:color w:val="auto"/>
        </w:rPr>
      </w:pPr>
    </w:p>
    <w:p>
      <w:pPr>
        <w:ind w:left="660" w:right="600" w:hanging="328"/>
        <w:spacing w:after="0" w:line="277"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increased material and overhead expenses associated with the production and distribution of our products as a result of global supply chain challenges.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70 basis point increase in IoT Solutions gross profit primarily was the result of:</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recurring revenue from our subscription services and changes in product mix.</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increased material and overhead expenses associated with the production and distribution of our products as a result of global supply challenges.</w:t>
      </w:r>
    </w:p>
    <w:p>
      <w:pPr>
        <w:spacing w:after="0" w:line="207"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Below are our operating expenses as a percentage of total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w w:val="90"/>
              </w:rPr>
              <w:t>Year ended 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0"/>
                <w:szCs w:val="10"/>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2021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8"/>
              <w:spacing w:after="0" w:line="122" w:lineRule="exact"/>
              <w:rPr>
                <w:sz w:val="20"/>
                <w:szCs w:val="20"/>
                <w:color w:val="auto"/>
              </w:rPr>
            </w:pPr>
            <w:r>
              <w:rPr>
                <w:rFonts w:ascii="Arial" w:cs="Arial" w:eastAsia="Arial" w:hAnsi="Arial"/>
                <w:sz w:val="14"/>
                <w:szCs w:val="14"/>
                <w:color w:val="auto"/>
                <w:w w:val="92"/>
              </w:rPr>
              <w:t>$ increase</w:t>
            </w:r>
          </w:p>
        </w:tc>
        <w:tc>
          <w:tcPr>
            <w:tcW w:w="120" w:type="dxa"/>
            <w:vAlign w:val="bottom"/>
          </w:tcPr>
          <w:p>
            <w:pPr>
              <w:spacing w:after="0"/>
              <w:rPr>
                <w:sz w:val="10"/>
                <w:szCs w:val="10"/>
                <w:color w:val="auto"/>
              </w:rPr>
            </w:pPr>
          </w:p>
        </w:tc>
        <w:tc>
          <w:tcPr>
            <w:tcW w:w="920" w:type="dxa"/>
            <w:vAlign w:val="bottom"/>
          </w:tcPr>
          <w:p>
            <w:pPr>
              <w:jc w:val="right"/>
              <w:ind w:right="68"/>
              <w:spacing w:after="0" w:line="122" w:lineRule="exact"/>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186"/>
        </w:trPr>
        <w:tc>
          <w:tcPr>
            <w:tcW w:w="5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w w:val="89"/>
              </w:rPr>
              <w:t>(decrease)</w:t>
            </w:r>
          </w:p>
        </w:tc>
        <w:tc>
          <w:tcPr>
            <w:tcW w:w="1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86"/>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2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61,909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52,761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18.9 %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9,148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92"/>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53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46,602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10,590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Restructuring charges, net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86"/>
        </w:trPr>
        <w:tc>
          <w:tcPr>
            <w:tcW w:w="5320" w:type="dxa"/>
            <w:vAlign w:val="bottom"/>
            <w:gridSpan w:val="2"/>
          </w:tcPr>
          <w:p>
            <w:pPr>
              <w:ind w:left="1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156,129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50.6 %</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132,655</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47.5 %</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23,474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w:t>
      </w:r>
      <w:r>
        <w:rPr>
          <w:rFonts w:ascii="Arial" w:cs="Arial" w:eastAsia="Arial" w:hAnsi="Arial"/>
          <w:sz w:val="18"/>
          <w:szCs w:val="18"/>
          <w:color w:val="auto"/>
        </w:rPr>
        <w:t>$23.5 million</w:t>
      </w:r>
      <w:r>
        <w:rPr>
          <w:rFonts w:ascii="Arial" w:cs="Arial" w:eastAsia="Arial" w:hAnsi="Arial"/>
          <w:sz w:val="18"/>
          <w:szCs w:val="18"/>
          <w:i w:val="1"/>
          <w:iCs w:val="1"/>
          <w:color w:val="auto"/>
        </w:rPr>
        <w:t xml:space="preserve"> increase in operating expenses in fiscal 2021 from fiscal 2020 primarily was the result of:</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of $5.9 million in earn-out expenses primarily as a result of revenue from the Opengear exceeding our previous estimate;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$12.0 million in compensation expenses;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increases primarily related to outside services, bad debt expense, restructuring and 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partially was offset by:</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$1.6 million in travel related expenses as events and travel were restricted due to the pandemic.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color w:val="auto"/>
              </w:rPr>
              <w:t>Year ended 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260" w:type="dxa"/>
            <w:vAlign w:val="bottom"/>
          </w:tcPr>
          <w:p>
            <w:pPr>
              <w:spacing w:after="0"/>
              <w:rPr>
                <w:sz w:val="10"/>
                <w:szCs w:val="10"/>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2021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8"/>
              <w:spacing w:after="0" w:line="122" w:lineRule="exact"/>
              <w:rPr>
                <w:sz w:val="20"/>
                <w:szCs w:val="20"/>
                <w:color w:val="auto"/>
              </w:rPr>
            </w:pPr>
            <w:r>
              <w:rPr>
                <w:rFonts w:ascii="Arial" w:cs="Arial" w:eastAsia="Arial" w:hAnsi="Arial"/>
                <w:sz w:val="14"/>
                <w:szCs w:val="14"/>
                <w:color w:val="auto"/>
                <w:w w:val="92"/>
              </w:rPr>
              <w:t>$ increase</w:t>
            </w:r>
          </w:p>
        </w:tc>
        <w:tc>
          <w:tcPr>
            <w:tcW w:w="1040" w:type="dxa"/>
            <w:vAlign w:val="bottom"/>
          </w:tcPr>
          <w:p>
            <w:pPr>
              <w:jc w:val="right"/>
              <w:ind w:right="68"/>
              <w:spacing w:after="0" w:line="122" w:lineRule="exact"/>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186"/>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w w:val="89"/>
              </w:rPr>
              <w:t>(decrease)</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86"/>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2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(294)</w:t>
            </w:r>
          </w:p>
        </w:tc>
        <w:tc>
          <w:tcPr>
            <w:tcW w:w="1040" w:type="dxa"/>
            <w:vAlign w:val="bottom"/>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92"/>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6"/>
        </w:trPr>
        <w:tc>
          <w:tcPr>
            <w:tcW w:w="5320" w:type="dxa"/>
            <w:vAlign w:val="bottom"/>
            <w:gridSpan w:val="2"/>
          </w:tcPr>
          <w:p>
            <w:pPr>
              <w:ind w:left="140"/>
              <w:spacing w:after="0"/>
              <w:rPr>
                <w:sz w:val="20"/>
                <w:szCs w:val="20"/>
                <w:color w:val="auto"/>
              </w:rPr>
            </w:pPr>
            <w:r>
              <w:rPr>
                <w:rFonts w:ascii="Arial" w:cs="Arial" w:eastAsia="Arial" w:hAnsi="Arial"/>
                <w:sz w:val="14"/>
                <w:szCs w:val="14"/>
                <w:color w:val="auto"/>
              </w:rPr>
              <w:t>Other expense, net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422</w:t>
            </w:r>
          </w:p>
        </w:tc>
        <w:tc>
          <w:tcPr>
            <w:tcW w:w="1040" w:type="dxa"/>
            <w:vAlign w:val="bottom"/>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w:t>
      </w:r>
      <w:r>
        <w:rPr>
          <w:rFonts w:ascii="Arial" w:cs="Arial" w:eastAsia="Arial" w:hAnsi="Arial"/>
          <w:sz w:val="18"/>
          <w:szCs w:val="18"/>
          <w:color w:val="auto"/>
        </w:rPr>
        <w:t>$2.3 million</w:t>
      </w:r>
      <w:r>
        <w:rPr>
          <w:rFonts w:ascii="Arial" w:cs="Arial" w:eastAsia="Arial" w:hAnsi="Arial"/>
          <w:sz w:val="18"/>
          <w:szCs w:val="18"/>
          <w:i w:val="1"/>
          <w:iCs w:val="1"/>
          <w:color w:val="auto"/>
        </w:rPr>
        <w:t xml:space="preserve"> decrease in other expense in fiscal 2021 from fiscal 2020 primarily was the result of:</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 decrease in interest expense of $2.2 million, due to lower debt balances in 2021 (see </w:t>
      </w:r>
      <w:hyperlink w:anchor="page61">
        <w:r>
          <w:rPr>
            <w:rFonts w:ascii="Arial" w:cs="Arial" w:eastAsia="Arial" w:hAnsi="Arial"/>
            <w:sz w:val="17"/>
            <w:szCs w:val="17"/>
            <w:u w:val="single" w:color="auto"/>
            <w:color w:val="0000FF"/>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28" w:lineRule="exact"/>
        <w:rPr>
          <w:rFonts w:ascii="Arial" w:cs="Arial" w:eastAsia="Arial" w:hAnsi="Arial"/>
          <w:sz w:val="17"/>
          <w:szCs w:val="17"/>
          <w:color w:val="auto"/>
        </w:rPr>
      </w:pPr>
    </w:p>
    <w:p>
      <w:pPr>
        <w:ind w:left="660" w:right="4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$0.4 million decrease in other expense primarily related to decreases in foreign currency losses stemming from a strengthening of the Euro against the U.S. Dollar in 2020;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interest income decreased $0.3 million, driven by a decrease in cash and cash equivalents help in interest-bearing accounts in fiscal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85"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Our effective income tax rates were (15.2)%, (12.7)% and 10.7% for fiscal 2021, 2020 and 2019, respectively. Our effective tax rate will vary based on a variety of factors. These include our overall profitability, the geographical mix of income before taxes and related statutory tax rate in each jurisdiction, and discrete events, such as settlement of audits (see </w:t>
      </w:r>
      <w:hyperlink w:anchor="page66">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Below are reconciliations from GAAP to Non-GAAP information that we feel is important to our business: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color w:val="auto"/>
              </w:rPr>
              <w:t>Year ended September 30,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jc w:val="right"/>
              <w:ind w:right="300"/>
              <w:spacing w:after="0" w:line="162" w:lineRule="exact"/>
              <w:rPr>
                <w:sz w:val="20"/>
                <w:szCs w:val="20"/>
                <w:color w:val="auto"/>
              </w:rPr>
            </w:pPr>
            <w:r>
              <w:rPr>
                <w:rFonts w:ascii="Arial" w:cs="Arial" w:eastAsia="Arial" w:hAnsi="Arial"/>
                <w:sz w:val="16"/>
                <w:szCs w:val="16"/>
                <w:color w:val="auto"/>
                <w:w w:val="95"/>
              </w:rPr>
              <w:t>% of 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w w:val="92"/>
              </w:rPr>
              <w:t>% of total</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6"/>
                <w:szCs w:val="16"/>
                <w:color w:val="auto"/>
                <w:w w:val="93"/>
              </w:rPr>
              <w:t>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revenue</w:t>
            </w:r>
          </w:p>
        </w:tc>
        <w:tc>
          <w:tcPr>
            <w:tcW w:w="0" w:type="dxa"/>
            <w:vAlign w:val="bottom"/>
          </w:tcPr>
          <w:p>
            <w:pPr>
              <w:spacing w:after="0"/>
              <w:rPr>
                <w:sz w:val="1"/>
                <w:szCs w:val="1"/>
                <w:color w:val="auto"/>
              </w:rPr>
            </w:pPr>
          </w:p>
        </w:tc>
      </w:tr>
      <w:tr>
        <w:trPr>
          <w:trHeight w:val="23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422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308,632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279,271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3000" w:type="dxa"/>
            <w:vAlign w:val="bottom"/>
          </w:tcPr>
          <w:p>
            <w:pPr>
              <w:spacing w:after="0"/>
              <w:rPr>
                <w:sz w:val="5"/>
                <w:szCs w:val="5"/>
                <w:color w:val="auto"/>
              </w:rPr>
            </w:pPr>
          </w:p>
        </w:tc>
        <w:tc>
          <w:tcPr>
            <w:tcW w:w="3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 (income), net</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19,299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Acquisition earnout expenses</w:t>
            </w: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expense</w:t>
            </w:r>
          </w:p>
        </w:tc>
        <w:tc>
          <w:tcPr>
            <w:tcW w:w="3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3000" w:type="dxa"/>
            <w:vAlign w:val="bottom"/>
          </w:tcPr>
          <w:p>
            <w:pPr>
              <w:spacing w:after="0"/>
              <w:rPr>
                <w:sz w:val="24"/>
                <w:szCs w:val="24"/>
                <w:color w:val="auto"/>
              </w:rPr>
            </w:pPr>
          </w:p>
        </w:tc>
        <w:tc>
          <w:tcPr>
            <w:tcW w:w="5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Reconciliation of Net Income and Net Income per Diluted Share to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19"/>
                <w:szCs w:val="19"/>
                <w:color w:val="auto"/>
              </w:rPr>
            </w:pPr>
          </w:p>
        </w:tc>
        <w:tc>
          <w:tcPr>
            <w:tcW w:w="5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Adjusted Net Income and Adjusted Net Income per Diluted Share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4220" w:type="dxa"/>
            <w:vAlign w:val="bottom"/>
            <w:gridSpan w:val="2"/>
          </w:tcPr>
          <w:p>
            <w:pPr>
              <w:jc w:val="center"/>
              <w:ind w:left="954"/>
              <w:spacing w:after="0"/>
              <w:rPr>
                <w:sz w:val="20"/>
                <w:szCs w:val="20"/>
                <w:color w:val="auto"/>
              </w:rPr>
            </w:pPr>
            <w:r>
              <w:rPr>
                <w:rFonts w:ascii="Arial" w:cs="Arial" w:eastAsia="Arial" w:hAnsi="Arial"/>
                <w:sz w:val="18"/>
                <w:szCs w:val="18"/>
                <w:color w:val="auto"/>
                <w:w w:val="88"/>
              </w:rPr>
              <w:t>(In thousands, except per share amounts)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6"/>
                <w:szCs w:val="16"/>
                <w:color w:val="auto"/>
                <w:w w:val="88"/>
              </w:rPr>
              <w:t>Year ended September 30,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Net income and net income per diluted share</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10,366</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8,411</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16,534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14,754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8,135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7,237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Other non-operating expense (income)</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expense</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2,772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Acquisition earn-out adjustments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5,772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 related to acquisition</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1,404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3,558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gridSpan w:val="3"/>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Tax effect from above net income adjustments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(6,627)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(7,106)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Discrete tax benefits </w:t>
            </w:r>
            <w:r>
              <w:rPr>
                <w:rFonts w:ascii="Arial" w:cs="Arial" w:eastAsia="Arial" w:hAnsi="Arial"/>
                <w:sz w:val="21"/>
                <w:szCs w:val="21"/>
                <w:color w:val="auto"/>
                <w:vertAlign w:val="superscript"/>
              </w:rPr>
              <w:t>(2)</w:t>
            </w:r>
          </w:p>
        </w:tc>
        <w:tc>
          <w:tcPr>
            <w:tcW w:w="3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(2,674)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(1,216)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3"/>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Adjusted net income and adjusted net income per diluted share </w:t>
            </w:r>
            <w:r>
              <w:rPr>
                <w:rFonts w:ascii="Arial" w:cs="Arial" w:eastAsia="Arial" w:hAnsi="Arial"/>
                <w:sz w:val="21"/>
                <w:szCs w:val="2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36,147</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28,965</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9"/>
              </w:rPr>
              <w:t>Diluted weighted average common shares</w:t>
            </w:r>
          </w:p>
        </w:tc>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0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33,394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tax effect from the above adjustments assumes and estimated effective tax rate of 18.0% for fiscal 2021 and 20.2% for fiscal 2020 based on adjusted net income.</w:t>
      </w:r>
    </w:p>
    <w:p>
      <w:pPr>
        <w:spacing w:after="0" w:line="42" w:lineRule="exact"/>
        <w:rPr>
          <w:rFonts w:ascii="Arial" w:cs="Arial" w:eastAsia="Arial" w:hAnsi="Arial"/>
          <w:sz w:val="14"/>
          <w:szCs w:val="14"/>
          <w:color w:val="auto"/>
        </w:rPr>
      </w:pPr>
    </w:p>
    <w:p>
      <w:pPr>
        <w:ind w:left="340" w:right="20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the twelve months ended September 30, 2021, discrete tax benefits include excess tax benefits recognized on stock compensation, an adjustment of our state deferred tax rate due to the Opengear acquisition and expiring statute of limitations. For the twelve months ended September 30, 2020, discrete tax benefits primarily includes reversals of tax reserves due to the expiration of statutes of limitation.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net income per diluted share may not add due to the use of 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Historically we have financed our operations and capital expenditures principally with funds generated from operations. Our liquidity requirements arise from our working capital needs, and to a lesser extent, our need to fund capital expenditures to support our current operations and facilitate growth and expansion.</w:t>
      </w:r>
    </w:p>
    <w:p>
      <w:pPr>
        <w:spacing w:after="0" w:line="157" w:lineRule="exact"/>
        <w:rPr>
          <w:sz w:val="20"/>
          <w:szCs w:val="20"/>
          <w:color w:val="auto"/>
        </w:rPr>
      </w:pPr>
    </w:p>
    <w:p>
      <w:pPr>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On March 15, 2021, we entered into an amended and restated credit agreement consisting of a $200 million revolving loan. The $47.5 million term loan outstanding from a prior credit agreement was replaced by this new revolving loan along with additional proceeds of $0.6 million for a total of $48.1 million at June 30, 2021. As of September 30, 2021, $151.9 million remained available under the Revolving Loan, which included $10 million available for a letter of credit subfacility and $10 million available under a swingline subfacility, the outstanding amounts of which decrease the available commitment. During the first quarter of fiscal 2021, we repaid the final $15 million of the Revolving Loan under a prior credit agreement. For additional information regarding the terms of our Credit Facility, including the Revolving Loan and its subfacilities, see </w:t>
      </w:r>
      <w:hyperlink w:anchor="page61">
        <w:r>
          <w:rPr>
            <w:rFonts w:ascii="Arial" w:cs="Arial" w:eastAsia="Arial" w:hAnsi="Arial"/>
            <w:sz w:val="16"/>
            <w:szCs w:val="16"/>
            <w:u w:val="single" w:color="auto"/>
            <w:color w:val="0000FF"/>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w:t>
      </w:r>
    </w:p>
    <w:p>
      <w:pPr>
        <w:spacing w:after="0" w:line="124" w:lineRule="exact"/>
        <w:rPr>
          <w:sz w:val="20"/>
          <w:szCs w:val="20"/>
          <w:color w:val="auto"/>
        </w:rPr>
      </w:pPr>
    </w:p>
    <w:p>
      <w:pPr>
        <w:ind w:right="2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On November 1, 2021, we entered into a second amended and restated credit agreement consisting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For additional information regarding the terms of our Credit Facility see </w:t>
      </w:r>
      <w:hyperlink w:anchor="page73">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Additionally, during the second quarter of fiscal 2021 we sold 4,025,000 shares of our common stock and received net proceeds of $73.8 million.</w:t>
      </w:r>
    </w:p>
    <w:p>
      <w:pPr>
        <w:spacing w:after="0" w:line="2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expect positive cash flows from operations. We believe that our current cash and cash equivalents balances, cash generated from operations and our ability to borrow under our credit facility will be sufficient to fund our business operations and capital expenditures for the next twelve months and beyond.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follows, our consolidated statement of cash flows for the years ended September 30, 2021 and 2020 is summarized: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Year ended September 30,</w:t>
            </w:r>
          </w:p>
        </w:tc>
      </w:tr>
      <w:tr>
        <w:trPr>
          <w:trHeight w:val="186"/>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2020</w:t>
            </w:r>
          </w:p>
        </w:tc>
      </w:tr>
      <w:tr>
        <w:trPr>
          <w:trHeight w:val="186"/>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57,723</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34,478</w:t>
            </w:r>
          </w:p>
        </w:tc>
      </w:tr>
      <w:tr>
        <w:trPr>
          <w:trHeight w:val="186"/>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(136,997)</w:t>
            </w:r>
          </w:p>
        </w:tc>
      </w:tr>
      <w:tr>
        <w:trPr>
          <w:trHeight w:val="192"/>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63,603</w:t>
            </w:r>
          </w:p>
        </w:tc>
      </w:tr>
      <w:tr>
        <w:trPr>
          <w:trHeight w:val="186"/>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r>
      <w:tr>
        <w:trPr>
          <w:trHeight w:val="211"/>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98,303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 increased $23.2 million primarily as a result of:</w:t>
      </w:r>
    </w:p>
    <w:p>
      <w:pPr>
        <w:spacing w:after="0" w:line="117" w:lineRule="exact"/>
        <w:rPr>
          <w:sz w:val="20"/>
          <w:szCs w:val="20"/>
          <w:color w:val="auto"/>
        </w:rPr>
      </w:pPr>
    </w:p>
    <w:p>
      <w:pPr>
        <w:ind w:left="660" w:right="2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changes in non-cash adjustments $21.3 million, primarily related to a decrease in working capital of $15.7 million from the prior fiscal year;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change in fair value of contingent consideration of $5.9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net income of $2.0 million in 2021.</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Working capital decreased $15.7 million primarily due to decreased accounts receivable, inventory and accrued expenses and an increase in taxes payable from 2020. These factors that lowered working capital were partially offset by increases in accounts payable and other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 decreased $115.6 million primarily as a result of:</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$136.1 million net cash used for the purchase of Opengear during fiscal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partial offsets to that decreases was $19.1 million of acquisitions in 2021;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$1.4 million of additional purchases in 2021 related to property, equipment and facility improvements.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 decreased $1.4 million primarily as a result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1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proceeds, net of payments of long-term debt of $63.1 million from the Revolving Loan and Term Loan in 2020, and $15.0 million in net payment activity in 2021 (see </w:t>
      </w:r>
      <w:hyperlink w:anchor="page61">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taxes paid for share settlements of $0.3 million in fiscal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partial offset to this increases from proceeds from stock issuances of $73.8 million in fiscal 2021;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partial offsets to these decreases related to additional proceeds from stock option and employee stock purchase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contractual obligations at September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color w:val="auto"/>
                <w:w w:val="93"/>
              </w:rPr>
              <w:t>Payments due by fiscal period</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Less than 1 year</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1-3 years</w:t>
            </w: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3-5 years</w:t>
            </w:r>
          </w:p>
        </w:tc>
        <w:tc>
          <w:tcPr>
            <w:tcW w:w="16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Thereafter</w:t>
            </w:r>
          </w:p>
        </w:tc>
      </w:tr>
      <w:tr>
        <w:trPr>
          <w:trHeight w:val="186"/>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24,628</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$6,233</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$9,394</w:t>
            </w:r>
          </w:p>
        </w:tc>
      </w:tr>
      <w:tr>
        <w:trPr>
          <w:trHeight w:val="186"/>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6,200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Revolving loan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on long-term debt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82,984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14,315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operating lease agreements included above primarily relate to office space. The table above does not include our possible payments for uncertain tax positions. Our reserve for uncertain tax positions, including accrued interest and penalties, was $3.0 million as of September 30, 2021.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exposed to foreign currency transaction risk associated with certain sales being denominated in Euros, British Pounds, Japanese Yen and Canadian Dollar. We also are exposed to foreign currency translation risk as the financial position and operating results of our foreign subsidiaries are translated into U.S. Dollars for consolidation. We manage our net asset or net liability position for U.S. dollar accounts in our foreign locations to reduce our foreign currency risk. We have not implemented a formal hedging strategy to reduce foreign currency risk.</w:t>
      </w:r>
    </w:p>
    <w:p>
      <w:pPr>
        <w:spacing w:after="0" w:line="14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2021, we had approximately $80.7 million of revenue related to foreign customers including export sales, of which $0.8 million was denominated in foreign currencies, predominantly the Canadian Dollar. During fiscal 2020 and 2019, we had approximately $65.8 million and $70.2 million, respectively, of revenue to foreign customers including export sales, of which $1.7 million and $3.4 million, respectively, were denominated in foreign currencies, predominantly the Euro and British Pound. In future periods, we expect that the majority of our sales will be in U.S. Dollar.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DEVELOPMENTS</w:t>
      </w:r>
    </w:p>
    <w:p>
      <w:pPr>
        <w:spacing w:after="0" w:line="18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information on new accounting pronouncements, see </w:t>
      </w:r>
      <w:hyperlink w:anchor="page46">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8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the following critical accounting policies impact our more significant judgments and estimates used in the preparation of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recognize hardware product revenue upon transfer of control of goods or services to customers in an amount that reflects the consideration we expect to receive in exchange for those goods or services. We determine the amount of revenue to be recognized through application of the following steps:</w:t>
      </w:r>
    </w:p>
    <w:p>
      <w:pPr>
        <w:spacing w:after="0" w:line="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 when or as we satisfy the performance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 Revenue and SmartSense by Digi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Equipment Revenue and Associated Installation Fees</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Our hardware product revenue is derived primarily from the sale of wired and wireless hardware products to our distributors and direct/original equipment manufacturer (“Direct/OEM”) customers. Product revenue generally is recognized upon shipment of the product to a customer. Sales to authorized domestic distributors and Direct/OEM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Estimated sales returns for our distributor stock rotation program are accounted for under the guidance of ASC 845 </w:t>
      </w:r>
      <w:r>
        <w:rPr>
          <w:rFonts w:ascii="Arial" w:cs="Arial" w:eastAsia="Arial" w:hAnsi="Arial"/>
          <w:sz w:val="16"/>
          <w:szCs w:val="16"/>
          <w:i w:val="1"/>
          <w:iCs w:val="1"/>
          <w:color w:val="auto"/>
        </w:rPr>
        <w:t>Nonmonetary Transactions</w:t>
      </w:r>
      <w:r>
        <w:rPr>
          <w:rFonts w:ascii="Arial" w:cs="Arial" w:eastAsia="Arial" w:hAnsi="Arial"/>
          <w:sz w:val="16"/>
          <w:szCs w:val="16"/>
          <w:color w:val="auto"/>
        </w:rPr>
        <w:t>. Material differences between the historical trends used to determine estimated reserves and actual credit returns and pricing adjustments could result in a material change to our consolidated results of operations or financial position.</w:t>
      </w:r>
    </w:p>
    <w:p>
      <w:pPr>
        <w:spacing w:after="0" w:line="120"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Equipment revenue from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within our IoT Solutions segment is recognized upon shipment of the equipment to a customer. Installation service charges from these sales are recorded when the product is installed.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Support Services Revenue</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subscription revenue is based on contracts with at least an annual term and is recorded on a monthly basis. These subscriptions are generally in a range from one to five years, and may contain an evergreen renewal provision. Generally, our subscription renewal charges per month are the same as the original contract term.</w:t>
      </w:r>
    </w:p>
    <w:p>
      <w:pPr>
        <w:spacing w:after="0" w:line="15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also derive service revenue from our Digi Remote Manager</w:t>
      </w:r>
      <w:r>
        <w:rPr>
          <w:rFonts w:ascii="Arial" w:cs="Arial" w:eastAsia="Arial" w:hAnsi="Arial"/>
          <w:sz w:val="23"/>
          <w:szCs w:val="23"/>
          <w:color w:val="auto"/>
          <w:vertAlign w:val="superscript"/>
        </w:rPr>
        <w:t>®</w:t>
      </w:r>
      <w:r>
        <w:rPr>
          <w:rFonts w:ascii="Arial" w:cs="Arial" w:eastAsia="Arial" w:hAnsi="Arial"/>
          <w:sz w:val="18"/>
          <w:szCs w:val="18"/>
          <w:color w:val="auto"/>
        </w:rPr>
        <w:t>,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Digi Support Services revenues are recognized over the life of the support contract and included in our IoT Products &amp; Services segment. Some of Digi Support Services revenue is for training and this revenue is recognized as the services are performed.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w:t>
      </w:r>
    </w:p>
    <w:p>
      <w:pPr>
        <w:spacing w:after="0" w:line="18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Professional services revenue is derived from our Digi Wireless Design Services contracts on either on a time-and-materials or a fixed-fee basis. These revenues, which are included in our IoT Products &amp; Services segment are recognized as the services are performed for time-and-materials contracts, or when milestones are achieved and accepted by the customer for fixed-fee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From time to time we have contracts from customers with multiple performance obligations. Our hardware products may be combined with our Digi Remote Manager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PaaS offering as well as other support services in an individual contract. Our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typically are derived from contracts with multiple performance obligations. These obligations may include: delivery of monitoring equipment that the customer either purchases out-right or uses while we retain ownership,</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 out-right, that portion of the revenue is recognized at the stand-alone selling price at the time the equipment is shipped and all other revenue is recognized over the subscription term of the contract. We have made an accounting policy election to exclude from the measurement of our revenues any sales or similar taxes we collect from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1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We reduce the carrying value of our inventories for estimated excess and obsolete inventories equal to the difference between the cost of inventory and its estimated realizable value based upon assumptions about future product demand and market conditions. Once the new cost basis is established, the value is not increased with any changes in circumstances that would indicate an increase in value after the re-measurement. If actual product demand or market conditions are less favorable than those projected by management, additional inventory write-downs may be required that could result in a material change to our consolidated results of operations or financial position.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98" w:lineRule="exact"/>
        <w:rPr>
          <w:sz w:val="20"/>
          <w:szCs w:val="20"/>
          <w:color w:val="auto"/>
        </w:rPr>
      </w:pPr>
    </w:p>
    <w:p>
      <w:pPr>
        <w:ind w:right="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Goodwill represents the excess of cost over the fair value of identifiable assets acquired. Goodwill is tested for impairment on an annual basis as of June 30, or more frequently if events or circumstances occur which could indicate impairment. For our quantitative goodwill impairment tests, we determine the estimated fair value of each reporting unit and compare it to the carrying value of the reporting unit, including goodwill. If the carrying amount of a reporting unit is higher than its estimated fair value, an impairment loss must be recognized for the excess. We have two reportable operating segments, our IoT Products &amp; Services segment and our IoT Solutions segment (see </w:t>
      </w:r>
      <w:hyperlink w:anchor="page57">
        <w:r>
          <w:rPr>
            <w:rFonts w:ascii="Arial" w:cs="Arial" w:eastAsia="Arial" w:hAnsi="Arial"/>
            <w:sz w:val="17"/>
            <w:szCs w:val="17"/>
            <w:u w:val="single" w:color="auto"/>
            <w:color w:val="0000FF"/>
          </w:rPr>
          <w:t>Note 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consolidated financial statements). Effective with the reorganization announcement on October 7, 2020 (see </w:t>
      </w:r>
      <w:hyperlink w:anchor="page64">
        <w:r>
          <w:rPr>
            <w:rFonts w:ascii="Arial" w:cs="Arial" w:eastAsia="Arial" w:hAnsi="Arial"/>
            <w:sz w:val="17"/>
            <w:szCs w:val="17"/>
            <w:u w:val="single" w:color="auto"/>
            <w:color w:val="0000FF"/>
          </w:rPr>
          <w:t>Note 10</w:t>
        </w:r>
      </w:hyperlink>
      <w:r>
        <w:rPr>
          <w:rFonts w:ascii="Arial" w:cs="Arial" w:eastAsia="Arial" w:hAnsi="Arial"/>
          <w:sz w:val="17"/>
          <w:szCs w:val="17"/>
          <w:color w:val="auto"/>
        </w:rPr>
        <w:t>), our IoT Products &amp; Services business is now structured to include four reporting units under the IoT Products &amp; Services segment, each with a reporting manager: Cellular Routers, Console Servers, OEM Solutions and Infrastructure Management. We have four reporting units along with our IoT Solutions segment that have been tested individually for impairment.</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each reporting unit is determined using a weighted combination of an income and market approach. A discounted cash flow (“DCF”) method is utilized for the income approach. In developing the discounted cash flow analysis, our assumptions about future revenues, expenses, capital expenditures, and changes in working capital are based on management’s projections, and assume a terminal growth rate thereafter. A separate discount rate is determined for each reporting unit and these cash flows are then discounted to determine the fair value of the reporting unit. The market approach determines a value derived from the guideline company method. This market approach method estimates the price reasonably expected to be realized from the sale of the reporting unit based on comparable companies.</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We believe we made a reasonable estimate with the assumptions used to calculate the fair values of our two reporting segments. Changes in circumstances or a potential event could negatively affect the estimated fair values. We will continue to monitor potential COVID-19 industry and demand impacts as this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our Fiscal 2021 Annual Impairment Tests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the reorganization on October 7, 2020, we performed an interim impairment test in addition to our annual test as of June 30, 2021. Our goodwill impairment tests as of October 7, 2020 and June 30, 2021 indicated no impairment. During the fourth quarter of fiscal 2021, we assessed various qualitative factors to determine whether or not an additional goodwill impairment assessment was required as of September 30, 2021, and we concluded that no additional impairment assessment was required.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measure our contingent consideration liabilities recognized in connection with business combinations at fair value on a recurring basis using significant unobservable inputs classified within Level 3 of the fair value hierarchy as defined in ASC 820 "Fair Value Measurement". We used a probability-weighted discounted cash flow approach as the valuation technique to determine the fair value of the contingent consideration on the acquisition date. At each subsequent reporting period, the fair value is re-measured with the change in fair value recognized in general and administrative expense in our consolidated statements of operations. Any amounts paid to the sellers in excess of the amount recorded on the acquisition date will be classified as cash flows used in operating activities. Payments to the sellers not exceeding the acquisition-date fair value of the contingent consideration will be classified as cash flows used in financing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operate in multiple tax jurisdictions both in and outside of the U.S.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They also could result in adjustments to our income tax balances that are material to our consolidated financial position and results of operations and could result in potential cash outflows. Liabilities for uncertain tax positions are also established for potential and ongoing audits of federal, state and international issues. We routinely monitor the potential impact of such situations and believe that liabilities are properly stated. Valuations related to amounts owed and tax rates could be impacted by changes to tax codes and our interpretation thereof, changes in statutory rates, our future taxable income levels and the results of tax audits.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18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may be exposed to interest rate risk should we decide to invest in marketable securities. When we held marketable securities, we classified them as available-for-sale and were carried at fair value. Our investments historically consisted of money market funds, certificates of deposit, commercial paper, corporate bonds and government municipal bonds. Our investment policy specifies the types of eligible investments and minimum credit quality of our investments, as well as diversification and concentration limits which mitigate our risk. We do not use derivative financial instruments to hedge against interest rate risk because the majority of our investments mature in less than one year.</w:t>
      </w:r>
    </w:p>
    <w:p>
      <w:pPr>
        <w:spacing w:after="0" w:line="136"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are exposed to market risks related to fluctuations in interest rates on amounts borrowed under the Credit Facility. As of September 30, 2021, we had no amounts outstanding under our Term Loan and $48.1 million outstanding under our Revolving Loan. Prior to May 4, 2020, borrowings under the Credit Facility bore interest rates based on an underlying variable benchmark plus applicable margin based on our total leverage ("ABR"); this interest rate was reset quarterly. Effective May 4, 2020, borrowings under the Credit Facility bear a variable interest rate of LIBOR plus an applicable margin spread from 3.25% to 1.25%. The amount of the applicable margin spread is a function of our leverage ratio and is reset monthly. Based on the balance sheet position for both the Term Loan and Revolving Loan at September 30, 2021, the annualized effect of a 25 basis point change in interest rates would increase or decrease our interest expense by $0.1 million. For additional information, see </w:t>
      </w:r>
      <w:hyperlink w:anchor="page61">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our Credit Facility, interest rate changes generally do not affect the fair value of the debt instruments, but do impact future earnings and cash flows, assuming other factors are held constant.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RISK</w:t>
      </w:r>
    </w:p>
    <w:p>
      <w:pPr>
        <w:spacing w:after="0" w:line="1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exposed to foreign currency transaction risk associated with certain sales being denominated in Canadian Dollars and in certain cases, transactions in U.S. Dollars in our foreign entities. We are also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In addition, as foreign currency rates fluctuate, we may from time to time, adjust the prices of our products, services and subscriptions. We have not implemented a formal hedging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average monthly exchange rates of the Euro, British Pound, Japanese Yen and Canadian Dollar: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680" w:type="dxa"/>
            <w:vAlign w:val="bottom"/>
            <w:gridSpan w:val="5"/>
          </w:tcPr>
          <w:p>
            <w:pPr>
              <w:ind w:left="720"/>
              <w:spacing w:after="0"/>
              <w:rPr>
                <w:sz w:val="20"/>
                <w:szCs w:val="20"/>
                <w:color w:val="auto"/>
              </w:rPr>
            </w:pPr>
            <w:r>
              <w:rPr>
                <w:rFonts w:ascii="Arial" w:cs="Arial" w:eastAsia="Arial" w:hAnsi="Arial"/>
                <w:sz w:val="16"/>
                <w:szCs w:val="16"/>
                <w:color w:val="auto"/>
              </w:rPr>
              <w:t>Fiscal year ended</w:t>
            </w:r>
          </w:p>
        </w:tc>
        <w:tc>
          <w:tcPr>
            <w:tcW w:w="1380" w:type="dxa"/>
            <w:vAlign w:val="bottom"/>
            <w:vMerge w:val="restart"/>
          </w:tcPr>
          <w:p>
            <w:pPr>
              <w:jc w:val="right"/>
              <w:ind w:right="259"/>
              <w:spacing w:after="0"/>
              <w:rPr>
                <w:sz w:val="20"/>
                <w:szCs w:val="20"/>
                <w:color w:val="auto"/>
              </w:rPr>
            </w:pPr>
            <w:r>
              <w:rPr>
                <w:rFonts w:ascii="Arial" w:cs="Arial" w:eastAsia="Arial" w:hAnsi="Arial"/>
                <w:sz w:val="16"/>
                <w:szCs w:val="16"/>
                <w:color w:val="auto"/>
              </w:rPr>
              <w:t>% increase</w:t>
            </w: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178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color w:val="auto"/>
                <w:w w:val="89"/>
              </w:rPr>
              <w:t>September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2020</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w:t>
            </w:r>
          </w:p>
        </w:tc>
        <w:tc>
          <w:tcPr>
            <w:tcW w:w="12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1.1951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British Pound</w:t>
            </w:r>
          </w:p>
        </w:tc>
        <w:tc>
          <w:tcPr>
            <w:tcW w:w="1240" w:type="dxa"/>
            <w:vAlign w:val="bottom"/>
          </w:tcPr>
          <w:p>
            <w:pPr>
              <w:ind w:left="720"/>
              <w:spacing w:after="0"/>
              <w:rPr>
                <w:sz w:val="20"/>
                <w:szCs w:val="20"/>
                <w:color w:val="auto"/>
              </w:rPr>
            </w:pPr>
            <w:r>
              <w:rPr>
                <w:rFonts w:ascii="Arial" w:cs="Arial" w:eastAsia="Arial" w:hAnsi="Arial"/>
                <w:sz w:val="16"/>
                <w:szCs w:val="16"/>
                <w:color w:val="auto"/>
              </w:rPr>
              <w:t>1.2718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1.2722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Japanese Yen</w:t>
            </w:r>
          </w:p>
        </w:tc>
        <w:tc>
          <w:tcPr>
            <w:tcW w:w="12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0.0093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0.0093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Canadian Dollar</w:t>
            </w:r>
          </w:p>
        </w:tc>
        <w:tc>
          <w:tcPr>
            <w:tcW w:w="1240" w:type="dxa"/>
            <w:vAlign w:val="bottom"/>
          </w:tcPr>
          <w:p>
            <w:pPr>
              <w:ind w:left="720"/>
              <w:spacing w:after="0"/>
              <w:rPr>
                <w:sz w:val="20"/>
                <w:szCs w:val="20"/>
                <w:color w:val="auto"/>
              </w:rPr>
            </w:pPr>
            <w:r>
              <w:rPr>
                <w:rFonts w:ascii="Arial" w:cs="Arial" w:eastAsia="Arial" w:hAnsi="Arial"/>
                <w:sz w:val="16"/>
                <w:szCs w:val="16"/>
                <w:color w:val="auto"/>
              </w:rPr>
              <w:t>0.7911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0.7441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 10.0% change from the 2021 average exchange rate for the Euro, British Pound, Yen and Canadian Dollar to the U.S. Dollar would have resulted in an immaterial increase or decrease in fiscal 2021 annual revenue and a 0.9% increase or decrease in stockholders' equity at September 30, 2021. The above analysis does not take into consideration any pricing adjustments we may make in response to changes in the exchange rates.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18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have some exposure to credit risk related to our accounts receivable portfolio. Exposure to credit risk is controlled through regular monitoring of customer financial status, credit limits and collaboration with sales management on customer contacts to facilitate payment.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0140" w:type="dxa"/>
            <w:vAlign w:val="bottom"/>
            <w:gridSpan w:val="2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831"/>
        </w:trPr>
        <w:tc>
          <w:tcPr>
            <w:tcW w:w="10140" w:type="dxa"/>
            <w:vAlign w:val="bottom"/>
            <w:gridSpan w:val="24"/>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3"/>
        </w:trPr>
        <w:tc>
          <w:tcPr>
            <w:tcW w:w="20" w:type="dxa"/>
            <w:vAlign w:val="bottom"/>
          </w:tcPr>
          <w:p>
            <w:pPr>
              <w:spacing w:after="0"/>
              <w:rPr>
                <w:sz w:val="15"/>
                <w:szCs w:val="15"/>
                <w:color w:val="auto"/>
              </w:rPr>
            </w:pPr>
          </w:p>
        </w:tc>
        <w:tc>
          <w:tcPr>
            <w:tcW w:w="10120" w:type="dxa"/>
            <w:vAlign w:val="bottom"/>
            <w:gridSpan w:val="23"/>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Report of Independent Registered Public Accounting Firm</w:t>
              </w:r>
            </w:hyperlink>
          </w:p>
        </w:tc>
        <w:tc>
          <w:tcPr>
            <w:tcW w:w="1100" w:type="dxa"/>
            <w:vAlign w:val="bottom"/>
            <w:gridSpan w:val="3"/>
          </w:tcPr>
          <w:p>
            <w:pPr>
              <w:jc w:val="center"/>
              <w:spacing w:after="0" w:line="18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4"/>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Consolidated Statements of Operations</w:t>
              </w:r>
            </w:hyperlink>
          </w:p>
        </w:tc>
        <w:tc>
          <w:tcPr>
            <w:tcW w:w="1400" w:type="dxa"/>
            <w:vAlign w:val="bottom"/>
            <w:gridSpan w:val="7"/>
          </w:tcPr>
          <w:p>
            <w:pPr>
              <w:spacing w:after="0"/>
              <w:rPr>
                <w:sz w:val="18"/>
                <w:szCs w:val="18"/>
                <w:color w:val="auto"/>
              </w:rPr>
            </w:pPr>
          </w:p>
        </w:tc>
        <w:tc>
          <w:tcPr>
            <w:tcW w:w="5900" w:type="dxa"/>
            <w:vAlign w:val="bottom"/>
            <w:gridSpan w:val="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2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Statements of Comprehensive Income</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11"/>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Consolidated Balance Sheets</w:t>
              </w:r>
            </w:hyperlink>
          </w:p>
        </w:tc>
        <w:tc>
          <w:tcPr>
            <w:tcW w:w="1640" w:type="dxa"/>
            <w:vAlign w:val="bottom"/>
            <w:gridSpan w:val="9"/>
          </w:tcPr>
          <w:p>
            <w:pPr>
              <w:spacing w:after="0"/>
              <w:rPr>
                <w:sz w:val="18"/>
                <w:szCs w:val="18"/>
                <w:color w:val="auto"/>
              </w:rPr>
            </w:pPr>
          </w:p>
        </w:tc>
        <w:tc>
          <w:tcPr>
            <w:tcW w:w="6380" w:type="dxa"/>
            <w:vAlign w:val="bottom"/>
            <w:gridSpan w:val="3"/>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15"/>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Consolidated Statements of Cash Flows</w:t>
              </w:r>
            </w:hyperlink>
          </w:p>
        </w:tc>
        <w:tc>
          <w:tcPr>
            <w:tcW w:w="7240" w:type="dxa"/>
            <w:vAlign w:val="bottom"/>
            <w:gridSpan w:val="8"/>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2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Statements of Stockholders' Equity</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17"/>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Notes to the Consolidated Financial Statements</w:t>
              </w:r>
            </w:hyperlink>
          </w:p>
        </w:tc>
        <w:tc>
          <w:tcPr>
            <w:tcW w:w="100" w:type="dxa"/>
            <w:vAlign w:val="bottom"/>
          </w:tcPr>
          <w:p>
            <w:pPr>
              <w:spacing w:after="0"/>
              <w:rPr>
                <w:sz w:val="18"/>
                <w:szCs w:val="18"/>
                <w:color w:val="auto"/>
              </w:rPr>
            </w:pPr>
          </w:p>
        </w:tc>
        <w:tc>
          <w:tcPr>
            <w:tcW w:w="6600" w:type="dxa"/>
            <w:vAlign w:val="bottom"/>
            <w:gridSpan w:val="5"/>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1.</w:t>
              </w:r>
            </w:hyperlink>
          </w:p>
        </w:tc>
        <w:tc>
          <w:tcPr>
            <w:tcW w:w="3260" w:type="dxa"/>
            <w:vAlign w:val="bottom"/>
            <w:gridSpan w:val="18"/>
          </w:tcPr>
          <w:p>
            <w:pPr>
              <w:ind w:left="20"/>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Summary of Significant Accounting Policies</w:t>
              </w:r>
            </w:hyperlink>
          </w:p>
        </w:tc>
        <w:tc>
          <w:tcPr>
            <w:tcW w:w="6380" w:type="dxa"/>
            <w:vAlign w:val="bottom"/>
            <w:gridSpan w:val="3"/>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2.</w:t>
              </w:r>
            </w:hyperlink>
          </w:p>
        </w:tc>
        <w:tc>
          <w:tcPr>
            <w:tcW w:w="940" w:type="dxa"/>
            <w:vAlign w:val="bottom"/>
            <w:gridSpan w:val="4"/>
          </w:tcPr>
          <w:p>
            <w:pPr>
              <w:ind w:left="20"/>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Acquisitions</w:t>
              </w:r>
            </w:hyperlink>
          </w:p>
        </w:tc>
        <w:tc>
          <w:tcPr>
            <w:tcW w:w="2320" w:type="dxa"/>
            <w:vAlign w:val="bottom"/>
            <w:gridSpan w:val="14"/>
          </w:tcPr>
          <w:p>
            <w:pPr>
              <w:spacing w:after="0"/>
              <w:rPr>
                <w:sz w:val="18"/>
                <w:szCs w:val="18"/>
                <w:color w:val="auto"/>
              </w:rPr>
            </w:pPr>
          </w:p>
        </w:tc>
        <w:tc>
          <w:tcPr>
            <w:tcW w:w="6380" w:type="dxa"/>
            <w:vAlign w:val="bottom"/>
            <w:gridSpan w:val="3"/>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49</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3.</w:t>
              </w:r>
            </w:hyperlink>
          </w:p>
        </w:tc>
        <w:tc>
          <w:tcPr>
            <w:tcW w:w="9640" w:type="dxa"/>
            <w:vAlign w:val="bottom"/>
            <w:gridSpan w:val="21"/>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Goodwill and Other Identifiable Intangible Assets, Net</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4.</w:t>
              </w:r>
            </w:hyperlink>
          </w:p>
        </w:tc>
        <w:tc>
          <w:tcPr>
            <w:tcW w:w="3980" w:type="dxa"/>
            <w:vAlign w:val="bottom"/>
            <w:gridSpan w:val="20"/>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Segment Information and Major Customers</w:t>
              </w:r>
            </w:hyperlink>
          </w:p>
        </w:tc>
        <w:tc>
          <w:tcPr>
            <w:tcW w:w="5660" w:type="dxa"/>
            <w:vAlign w:val="bottom"/>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w:t>
              </w:r>
            </w:hyperlink>
          </w:p>
        </w:tc>
        <w:tc>
          <w:tcPr>
            <w:tcW w:w="2100" w:type="dxa"/>
            <w:vAlign w:val="bottom"/>
            <w:gridSpan w:val="11"/>
          </w:tcPr>
          <w:p>
            <w:pPr>
              <w:ind w:left="20"/>
              <w:spacing w:after="0"/>
              <w:rPr>
                <w:rFonts w:ascii="Arial" w:cs="Arial" w:eastAsia="Arial" w:hAnsi="Arial"/>
                <w:sz w:val="18"/>
                <w:szCs w:val="18"/>
                <w:color w:val="0000FF"/>
                <w:w w:val="86"/>
              </w:rPr>
            </w:pPr>
            <w:hyperlink w:anchor="page59">
              <w:r>
                <w:rPr>
                  <w:rFonts w:ascii="Arial" w:cs="Arial" w:eastAsia="Arial" w:hAnsi="Arial"/>
                  <w:sz w:val="18"/>
                  <w:szCs w:val="18"/>
                  <w:color w:val="0000FF"/>
                  <w:w w:val="86"/>
                </w:rPr>
                <w:t>Selected Balance Sheet Data</w:t>
              </w:r>
            </w:hyperlink>
          </w:p>
        </w:tc>
        <w:tc>
          <w:tcPr>
            <w:tcW w:w="1060" w:type="dxa"/>
            <w:vAlign w:val="bottom"/>
            <w:gridSpan w:val="6"/>
          </w:tcPr>
          <w:p>
            <w:pPr>
              <w:spacing w:after="0"/>
              <w:rPr>
                <w:sz w:val="18"/>
                <w:szCs w:val="18"/>
                <w:color w:val="auto"/>
              </w:rPr>
            </w:pPr>
          </w:p>
        </w:tc>
        <w:tc>
          <w:tcPr>
            <w:tcW w:w="6480" w:type="dxa"/>
            <w:vAlign w:val="bottom"/>
            <w:gridSpan w:val="4"/>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w:t>
              </w:r>
            </w:hyperlink>
          </w:p>
        </w:tc>
        <w:tc>
          <w:tcPr>
            <w:tcW w:w="2100" w:type="dxa"/>
            <w:vAlign w:val="bottom"/>
            <w:gridSpan w:val="11"/>
          </w:tcPr>
          <w:p>
            <w:pPr>
              <w:ind w:left="20"/>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Fair Value Measurements</w:t>
              </w:r>
            </w:hyperlink>
          </w:p>
        </w:tc>
        <w:tc>
          <w:tcPr>
            <w:tcW w:w="7540" w:type="dxa"/>
            <w:vAlign w:val="bottom"/>
            <w:gridSpan w:val="10"/>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58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7.</w:t>
              </w:r>
            </w:hyperlink>
          </w:p>
        </w:tc>
        <w:tc>
          <w:tcPr>
            <w:tcW w:w="1860" w:type="dxa"/>
            <w:vAlign w:val="bottom"/>
            <w:gridSpan w:val="10"/>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Indebtedness</w:t>
              </w:r>
            </w:hyperlink>
          </w:p>
        </w:tc>
        <w:tc>
          <w:tcPr>
            <w:tcW w:w="7780" w:type="dxa"/>
            <w:vAlign w:val="bottom"/>
            <w:gridSpan w:val="11"/>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59</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8.</w:t>
              </w:r>
            </w:hyperlink>
          </w:p>
        </w:tc>
        <w:tc>
          <w:tcPr>
            <w:tcW w:w="2100" w:type="dxa"/>
            <w:vAlign w:val="bottom"/>
            <w:gridSpan w:val="11"/>
          </w:tcPr>
          <w:p>
            <w:pPr>
              <w:ind w:left="20"/>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Product Warranty Obligation</w:t>
              </w:r>
            </w:hyperlink>
          </w:p>
        </w:tc>
        <w:tc>
          <w:tcPr>
            <w:tcW w:w="7540" w:type="dxa"/>
            <w:vAlign w:val="bottom"/>
            <w:gridSpan w:val="10"/>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9.</w:t>
              </w:r>
            </w:hyperlink>
          </w:p>
        </w:tc>
        <w:tc>
          <w:tcPr>
            <w:tcW w:w="520" w:type="dxa"/>
            <w:vAlign w:val="bottom"/>
            <w:gridSpan w:val="2"/>
          </w:tcPr>
          <w:p>
            <w:pPr>
              <w:ind w:left="20"/>
              <w:spacing w:after="0"/>
              <w:rPr>
                <w:rFonts w:ascii="Arial" w:cs="Arial" w:eastAsia="Arial" w:hAnsi="Arial"/>
                <w:sz w:val="18"/>
                <w:szCs w:val="18"/>
                <w:color w:val="0000FF"/>
                <w:w w:val="82"/>
              </w:rPr>
            </w:pPr>
            <w:hyperlink w:anchor="page62">
              <w:r>
                <w:rPr>
                  <w:rFonts w:ascii="Arial" w:cs="Arial" w:eastAsia="Arial" w:hAnsi="Arial"/>
                  <w:sz w:val="18"/>
                  <w:szCs w:val="18"/>
                  <w:color w:val="0000FF"/>
                  <w:w w:val="82"/>
                </w:rPr>
                <w:t>Leases</w:t>
              </w:r>
            </w:hyperlink>
          </w:p>
        </w:tc>
        <w:tc>
          <w:tcPr>
            <w:tcW w:w="1580" w:type="dxa"/>
            <w:vAlign w:val="bottom"/>
            <w:gridSpan w:val="9"/>
          </w:tcPr>
          <w:p>
            <w:pPr>
              <w:spacing w:after="0"/>
              <w:rPr>
                <w:sz w:val="18"/>
                <w:szCs w:val="18"/>
                <w:color w:val="auto"/>
              </w:rPr>
            </w:pPr>
          </w:p>
        </w:tc>
        <w:tc>
          <w:tcPr>
            <w:tcW w:w="7540" w:type="dxa"/>
            <w:vAlign w:val="bottom"/>
            <w:gridSpan w:val="10"/>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60</w:t>
              </w:r>
            </w:hyperlink>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64">
              <w:r>
                <w:rPr>
                  <w:rFonts w:ascii="Arial" w:cs="Arial" w:eastAsia="Arial" w:hAnsi="Arial"/>
                  <w:sz w:val="18"/>
                  <w:szCs w:val="18"/>
                  <w:color w:val="0000FF"/>
                  <w:w w:val="87"/>
                </w:rPr>
                <w:t>10.</w:t>
              </w:r>
            </w:hyperlink>
          </w:p>
        </w:tc>
        <w:tc>
          <w:tcPr>
            <w:tcW w:w="1000" w:type="dxa"/>
            <w:vAlign w:val="bottom"/>
            <w:gridSpan w:val="5"/>
          </w:tcPr>
          <w:p>
            <w:pPr>
              <w:ind w:left="2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Restructuring</w:t>
              </w:r>
            </w:hyperlink>
          </w:p>
        </w:tc>
        <w:tc>
          <w:tcPr>
            <w:tcW w:w="8540" w:type="dxa"/>
            <w:vAlign w:val="bottom"/>
            <w:gridSpan w:val="15"/>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62</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7"/>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11. Revenue</w:t>
              </w:r>
            </w:hyperlink>
          </w:p>
        </w:tc>
        <w:tc>
          <w:tcPr>
            <w:tcW w:w="8540" w:type="dxa"/>
            <w:vAlign w:val="bottom"/>
            <w:gridSpan w:val="15"/>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63</w:t>
              </w:r>
            </w:hyperlink>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66">
              <w:r>
                <w:rPr>
                  <w:rFonts w:ascii="Arial" w:cs="Arial" w:eastAsia="Arial" w:hAnsi="Arial"/>
                  <w:sz w:val="18"/>
                  <w:szCs w:val="18"/>
                  <w:color w:val="0000FF"/>
                  <w:w w:val="87"/>
                </w:rPr>
                <w:t>12.</w:t>
              </w:r>
            </w:hyperlink>
          </w:p>
        </w:tc>
        <w:tc>
          <w:tcPr>
            <w:tcW w:w="9540" w:type="dxa"/>
            <w:vAlign w:val="bottom"/>
            <w:gridSpan w:val="20"/>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Income Taxes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64</w:t>
              </w:r>
            </w:hyperlink>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13.</w:t>
              </w:r>
            </w:hyperlink>
          </w:p>
        </w:tc>
        <w:tc>
          <w:tcPr>
            <w:tcW w:w="1520" w:type="dxa"/>
            <w:vAlign w:val="bottom"/>
            <w:gridSpan w:val="8"/>
          </w:tcPr>
          <w:p>
            <w:pPr>
              <w:ind w:left="20"/>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Stockholder's Equity</w:t>
              </w:r>
            </w:hyperlink>
          </w:p>
        </w:tc>
        <w:tc>
          <w:tcPr>
            <w:tcW w:w="8020" w:type="dxa"/>
            <w:vAlign w:val="bottom"/>
            <w:gridSpan w:val="1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68</w:t>
              </w:r>
            </w:hyperlink>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14.</w:t>
              </w:r>
            </w:hyperlink>
          </w:p>
        </w:tc>
        <w:tc>
          <w:tcPr>
            <w:tcW w:w="2000" w:type="dxa"/>
            <w:vAlign w:val="bottom"/>
            <w:gridSpan w:val="10"/>
          </w:tcPr>
          <w:p>
            <w:pPr>
              <w:ind w:left="20"/>
              <w:spacing w:after="0"/>
              <w:rPr>
                <w:rFonts w:ascii="Arial" w:cs="Arial" w:eastAsia="Arial" w:hAnsi="Arial"/>
                <w:sz w:val="18"/>
                <w:szCs w:val="18"/>
                <w:color w:val="0000FF"/>
                <w:w w:val="86"/>
              </w:rPr>
            </w:pPr>
            <w:hyperlink w:anchor="page70">
              <w:r>
                <w:rPr>
                  <w:rFonts w:ascii="Arial" w:cs="Arial" w:eastAsia="Arial" w:hAnsi="Arial"/>
                  <w:sz w:val="18"/>
                  <w:szCs w:val="18"/>
                  <w:color w:val="0000FF"/>
                  <w:w w:val="86"/>
                </w:rPr>
                <w:t>Stock-Based Compensation</w:t>
              </w:r>
            </w:hyperlink>
          </w:p>
        </w:tc>
        <w:tc>
          <w:tcPr>
            <w:tcW w:w="7540" w:type="dxa"/>
            <w:vAlign w:val="bottom"/>
            <w:gridSpan w:val="10"/>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68</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15.</w:t>
              </w:r>
            </w:hyperlink>
          </w:p>
        </w:tc>
        <w:tc>
          <w:tcPr>
            <w:tcW w:w="1760" w:type="dxa"/>
            <w:vAlign w:val="bottom"/>
            <w:gridSpan w:val="9"/>
          </w:tcPr>
          <w:p>
            <w:pPr>
              <w:ind w:left="2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Employee Benefit Plans</w:t>
              </w:r>
            </w:hyperlink>
          </w:p>
        </w:tc>
        <w:tc>
          <w:tcPr>
            <w:tcW w:w="240" w:type="dxa"/>
            <w:vAlign w:val="bottom"/>
          </w:tcPr>
          <w:p>
            <w:pPr>
              <w:spacing w:after="0"/>
              <w:rPr>
                <w:sz w:val="18"/>
                <w:szCs w:val="18"/>
                <w:color w:val="auto"/>
              </w:rPr>
            </w:pPr>
          </w:p>
        </w:tc>
        <w:tc>
          <w:tcPr>
            <w:tcW w:w="7540" w:type="dxa"/>
            <w:vAlign w:val="bottom"/>
            <w:gridSpan w:val="10"/>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71</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16.</w:t>
              </w:r>
            </w:hyperlink>
          </w:p>
        </w:tc>
        <w:tc>
          <w:tcPr>
            <w:tcW w:w="2420" w:type="dxa"/>
            <w:vAlign w:val="bottom"/>
            <w:gridSpan w:val="13"/>
          </w:tcPr>
          <w:p>
            <w:pPr>
              <w:ind w:left="2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Commitments and Contingencies</w:t>
              </w:r>
            </w:hyperlink>
          </w:p>
        </w:tc>
        <w:tc>
          <w:tcPr>
            <w:tcW w:w="7120" w:type="dxa"/>
            <w:vAlign w:val="bottom"/>
            <w:gridSpan w:val="7"/>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71</w:t>
              </w:r>
            </w:hyperlink>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60" w:type="dxa"/>
            <w:vAlign w:val="bottom"/>
            <w:gridSpan w:val="2"/>
          </w:tcPr>
          <w:p>
            <w:pPr>
              <w:ind w:left="20"/>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17.</w:t>
              </w:r>
            </w:hyperlink>
          </w:p>
        </w:tc>
        <w:tc>
          <w:tcPr>
            <w:tcW w:w="2420" w:type="dxa"/>
            <w:vAlign w:val="bottom"/>
            <w:gridSpan w:val="13"/>
          </w:tcPr>
          <w:p>
            <w:pPr>
              <w:ind w:left="20"/>
              <w:spacing w:after="0"/>
              <w:rPr>
                <w:rFonts w:ascii="Arial" w:cs="Arial" w:eastAsia="Arial" w:hAnsi="Arial"/>
                <w:sz w:val="18"/>
                <w:szCs w:val="18"/>
                <w:color w:val="0000FF"/>
              </w:rPr>
            </w:pPr>
            <w:hyperlink w:anchor="page73">
              <w:r>
                <w:rPr>
                  <w:rFonts w:ascii="Arial" w:cs="Arial" w:eastAsia="Arial" w:hAnsi="Arial"/>
                  <w:sz w:val="18"/>
                  <w:szCs w:val="18"/>
                  <w:color w:val="0000FF"/>
                </w:rPr>
                <w:t>Subsequent Events</w:t>
              </w:r>
            </w:hyperlink>
          </w:p>
        </w:tc>
        <w:tc>
          <w:tcPr>
            <w:tcW w:w="7120" w:type="dxa"/>
            <w:vAlign w:val="bottom"/>
            <w:gridSpan w:val="7"/>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71</w:t>
              </w:r>
            </w:hyperlink>
          </w:p>
        </w:tc>
      </w:tr>
      <w:tr>
        <w:trPr>
          <w:trHeight w:val="92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gridSpan w:val="7"/>
          </w:tcPr>
          <w:p>
            <w:pPr>
              <w:spacing w:after="0"/>
              <w:rPr>
                <w:sz w:val="24"/>
                <w:szCs w:val="24"/>
                <w:color w:val="auto"/>
              </w:rPr>
            </w:pPr>
          </w:p>
        </w:tc>
        <w:tc>
          <w:tcPr>
            <w:tcW w:w="8160" w:type="dxa"/>
            <w:vAlign w:val="bottom"/>
            <w:gridSpan w:val="13"/>
          </w:tcPr>
          <w:p>
            <w:pPr>
              <w:jc w:val="right"/>
              <w:ind w:right="442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5040"/>
        <w:spacing w:after="0" w:line="46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Board of Directors and Shareholders</w:t>
      </w:r>
    </w:p>
    <w:p>
      <w:pPr>
        <w:spacing w:after="0"/>
        <w:rPr>
          <w:sz w:val="20"/>
          <w:szCs w:val="20"/>
          <w:color w:val="auto"/>
        </w:rPr>
      </w:pPr>
      <w:r>
        <w:rPr>
          <w:rFonts w:ascii="Arial" w:cs="Arial" w:eastAsia="Arial" w:hAnsi="Arial"/>
          <w:sz w:val="18"/>
          <w:szCs w:val="18"/>
          <w:color w:val="auto"/>
        </w:rPr>
        <w:t>Digi International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audited the accompanying consolidated balance sheets of Digi International Inc. (a Delaware corporation) and subsidiaries (the “Company”) as of September 30, 2021 and 2020, the related consolidated statements of operations, comprehensive income, stockholders’ equity, and cash flows for each of the three years in the period ended September 30, 2021, and the related notes and consolidated financial statement schedule included under Item 15a (collectively referred to as the “financial statements”). In our opinion, the financial statements present fairly, in all material respects, the financial position of the Company as of September 30, 2021 and 2020, and the results of its operations and its cash flows for each of the three years in the period ended September 30, 2021, in conformity with accounting principles generally accepted in the United States of America.</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2021, based on criteria established in the 2013 Internal Control—Integrated Framework issued by the Committee of Sponsoring Organizations of the Treadway Commission (“COSO”), and our report dated November 24, 2021 expressed an unqualified opinion.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matters.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7"/>
                <w:szCs w:val="17"/>
                <w:color w:val="auto"/>
                <w:w w:val="88"/>
              </w:rPr>
              <w:t>Year ended September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gridSpan w:val="7"/>
          </w:tcPr>
          <w:p>
            <w:pPr>
              <w:jc w:val="center"/>
              <w:ind w:right="235"/>
              <w:spacing w:after="0"/>
              <w:rPr>
                <w:sz w:val="20"/>
                <w:szCs w:val="20"/>
                <w:color w:val="auto"/>
              </w:rPr>
            </w:pPr>
            <w:r>
              <w:rPr>
                <w:rFonts w:ascii="Arial" w:cs="Arial" w:eastAsia="Arial" w:hAnsi="Arial"/>
                <w:sz w:val="17"/>
                <w:szCs w:val="17"/>
                <w:color w:val="auto"/>
                <w:w w:val="89"/>
              </w:rPr>
              <w:t>(in thousands, except per common share data)</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Product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265,805</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248,374</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224,530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29,673</w:t>
            </w:r>
          </w:p>
        </w:tc>
        <w:tc>
          <w:tcPr>
            <w:tcW w:w="0" w:type="dxa"/>
            <w:vAlign w:val="bottom"/>
          </w:tcPr>
          <w:p>
            <w:pPr>
              <w:spacing w:after="0"/>
              <w:rPr>
                <w:sz w:val="1"/>
                <w:szCs w:val="1"/>
                <w:color w:val="auto"/>
              </w:rPr>
            </w:pPr>
          </w:p>
        </w:tc>
      </w:tr>
      <w:tr>
        <w:trPr>
          <w:trHeight w:val="209"/>
        </w:trPr>
        <w:tc>
          <w:tcPr>
            <w:tcW w:w="674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308,632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279,271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254,203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Cost of product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124,065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118,855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service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13,350</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cost of sales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141,975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135,168</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166,657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143,972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119,035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61,909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45,801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37,564</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36,012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25,685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charge (reversal)</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132,655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108,963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10,072</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Other (expense) income, net: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other (expense) income,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11,145</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1,187</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40"/>
              <w:spacing w:after="0" w:line="189" w:lineRule="exact"/>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0.32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0.29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common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tcPr>
          <w:p>
            <w:pPr>
              <w:ind w:left="140"/>
              <w:spacing w:after="0" w:line="190" w:lineRule="exact"/>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33,394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29,546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28,554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30"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Year ended September 30,</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7"/>
                <w:szCs w:val="17"/>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7"/>
                <w:szCs w:val="17"/>
                <w:color w:val="auto"/>
              </w:rPr>
              <w:t>2019</w:t>
            </w:r>
          </w:p>
        </w:tc>
      </w:tr>
      <w:tr>
        <w:trPr>
          <w:trHeight w:val="223"/>
        </w:trPr>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6760" w:type="dxa"/>
            <w:vAlign w:val="bottom"/>
          </w:tcPr>
          <w:p>
            <w:pPr>
              <w:ind w:left="120"/>
              <w:spacing w:after="0"/>
              <w:rPr>
                <w:sz w:val="20"/>
                <w:szCs w:val="20"/>
                <w:color w:val="auto"/>
              </w:rPr>
            </w:pPr>
            <w:r>
              <w:rPr>
                <w:rFonts w:ascii="Arial" w:cs="Arial" w:eastAsia="Arial" w:hAnsi="Arial"/>
                <w:sz w:val="18"/>
                <w:szCs w:val="18"/>
                <w:color w:val="auto"/>
              </w:rPr>
              <w:t>Change in net unrealized gain (loss) on investments</w:t>
            </w: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income tax (expense) benefit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As of September 30,</w:t>
            </w:r>
          </w:p>
        </w:tc>
      </w:tr>
      <w:tr>
        <w:trPr>
          <w:trHeight w:val="210"/>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r>
      <w:tr>
        <w:trPr>
          <w:trHeight w:val="209"/>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259"/>
              <w:spacing w:after="0"/>
              <w:rPr>
                <w:sz w:val="20"/>
                <w:szCs w:val="20"/>
                <w:color w:val="auto"/>
              </w:rPr>
            </w:pPr>
            <w:r>
              <w:rPr>
                <w:rFonts w:ascii="Arial" w:cs="Arial" w:eastAsia="Arial" w:hAnsi="Arial"/>
                <w:sz w:val="16"/>
                <w:szCs w:val="16"/>
                <w:color w:val="auto"/>
                <w:w w:val="93"/>
              </w:rPr>
              <w:t>(in thousands, except share data)</w:t>
            </w:r>
          </w:p>
        </w:tc>
      </w:tr>
      <w:tr>
        <w:trPr>
          <w:trHeight w:val="21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54,129</w:t>
            </w:r>
          </w:p>
        </w:tc>
      </w:tr>
      <w:tr>
        <w:trPr>
          <w:trHeight w:val="213"/>
        </w:trPr>
        <w:tc>
          <w:tcPr>
            <w:tcW w:w="8440" w:type="dxa"/>
            <w:vAlign w:val="bottom"/>
            <w:gridSpan w:val="3"/>
          </w:tcPr>
          <w:p>
            <w:pPr>
              <w:ind w:left="1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43,738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59,227</w:t>
            </w: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51,568</w:t>
            </w:r>
          </w:p>
        </w:tc>
      </w:tr>
      <w:tr>
        <w:trPr>
          <w:trHeight w:val="213"/>
        </w:trPr>
        <w:tc>
          <w:tcPr>
            <w:tcW w:w="844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r>
      <w:tr>
        <w:trPr>
          <w:trHeight w:val="213"/>
        </w:trPr>
        <w:tc>
          <w:tcPr>
            <w:tcW w:w="84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170,058</w:t>
            </w: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Property, equipment and improvements,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11,507</w:t>
            </w:r>
          </w:p>
        </w:tc>
      </w:tr>
      <w:tr>
        <w:trPr>
          <w:trHeight w:val="21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Identifiable 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121,248</w:t>
            </w: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225,522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210,135</w:t>
            </w:r>
          </w:p>
        </w:tc>
      </w:tr>
      <w:tr>
        <w:trPr>
          <w:trHeight w:val="21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14,334</w:t>
            </w:r>
          </w:p>
        </w:tc>
      </w:tr>
      <w:tr>
        <w:trPr>
          <w:trHeight w:val="216"/>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r>
      <w:tr>
        <w:trPr>
          <w:trHeight w:val="213"/>
        </w:trPr>
        <w:tc>
          <w:tcPr>
            <w:tcW w:w="8440" w:type="dxa"/>
            <w:vAlign w:val="bottom"/>
            <w:gridSpan w:val="3"/>
          </w:tcPr>
          <w:p>
            <w:pPr>
              <w:ind w:left="5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619,531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528,682</w:t>
            </w: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r>
      <w:tr>
        <w:trPr>
          <w:trHeight w:val="213"/>
        </w:trPr>
        <w:tc>
          <w:tcPr>
            <w:tcW w:w="844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28,067</w:t>
            </w: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9,372</w:t>
            </w:r>
          </w:p>
        </w:tc>
      </w:tr>
      <w:tr>
        <w:trPr>
          <w:trHeight w:val="213"/>
        </w:trPr>
        <w:tc>
          <w:tcPr>
            <w:tcW w:w="8440" w:type="dxa"/>
            <w:vAlign w:val="bottom"/>
            <w:gridSpan w:val="3"/>
          </w:tcPr>
          <w:p>
            <w:pPr>
              <w:ind w:left="140"/>
              <w:spacing w:after="0"/>
              <w:rPr>
                <w:sz w:val="20"/>
                <w:szCs w:val="20"/>
                <w:color w:val="auto"/>
              </w:rPr>
            </w:pPr>
            <w:r>
              <w:rPr>
                <w:rFonts w:ascii="Arial" w:cs="Arial" w:eastAsia="Arial" w:hAnsi="Arial"/>
                <w:sz w:val="16"/>
                <w:szCs w:val="16"/>
                <w:color w:val="auto"/>
              </w:rPr>
              <w:t>Unearned revenue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7,691</w:t>
            </w: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Contingent consideration on acquired businesses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r>
      <w:tr>
        <w:trPr>
          <w:trHeight w:val="213"/>
        </w:trPr>
        <w:tc>
          <w:tcPr>
            <w:tcW w:w="8440" w:type="dxa"/>
            <w:vAlign w:val="bottom"/>
            <w:gridSpan w:val="3"/>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2,527</w:t>
            </w: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7,373</w:t>
            </w:r>
          </w:p>
        </w:tc>
      </w:tr>
      <w:tr>
        <w:trPr>
          <w:trHeight w:val="206"/>
        </w:trPr>
        <w:tc>
          <w:tcPr>
            <w:tcW w:w="8440" w:type="dxa"/>
            <w:vAlign w:val="bottom"/>
            <w:gridSpan w:val="3"/>
          </w:tcPr>
          <w:p>
            <w:pPr>
              <w:ind w:left="5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61,230</w:t>
            </w:r>
          </w:p>
        </w:tc>
      </w:tr>
      <w:tr>
        <w:trPr>
          <w:trHeight w:val="21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17,171</w:t>
            </w:r>
          </w:p>
        </w:tc>
      </w:tr>
      <w:tr>
        <w:trPr>
          <w:trHeight w:val="21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58,980</w:t>
            </w:r>
          </w:p>
        </w:tc>
      </w:tr>
      <w:tr>
        <w:trPr>
          <w:trHeight w:val="213"/>
        </w:trPr>
        <w:tc>
          <w:tcPr>
            <w:tcW w:w="8440" w:type="dxa"/>
            <w:vAlign w:val="bottom"/>
            <w:gridSpan w:val="3"/>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16,193</w:t>
            </w:r>
          </w:p>
        </w:tc>
      </w:tr>
      <w:tr>
        <w:trPr>
          <w:trHeight w:val="21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06"/>
        </w:trPr>
        <w:tc>
          <w:tcPr>
            <w:tcW w:w="8440" w:type="dxa"/>
            <w:vAlign w:val="bottom"/>
            <w:tcBorders>
              <w:bottom w:val="single" w:sz="8" w:color="CCEEFF"/>
            </w:tcBorders>
            <w:gridSpan w:val="3"/>
          </w:tcPr>
          <w:p>
            <w:pPr>
              <w:ind w:left="5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147,014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157,182</w:t>
            </w:r>
          </w:p>
        </w:tc>
      </w:tr>
      <w:tr>
        <w:trPr>
          <w:trHeight w:val="179"/>
        </w:trPr>
        <w:tc>
          <w:tcPr>
            <w:tcW w:w="8440" w:type="dxa"/>
            <w:vAlign w:val="bottom"/>
            <w:gridSpan w:val="3"/>
            <w:shd w:val="clear" w:color="auto" w:fill="CCEEFF"/>
          </w:tcPr>
          <w:p>
            <w:pPr>
              <w:ind w:left="20"/>
              <w:spacing w:after="0" w:line="158" w:lineRule="exact"/>
              <w:rPr>
                <w:rFonts w:ascii="Arial" w:cs="Arial" w:eastAsia="Arial" w:hAnsi="Arial"/>
                <w:sz w:val="16"/>
                <w:szCs w:val="16"/>
                <w:color w:val="auto"/>
              </w:rPr>
            </w:pPr>
            <w:r>
              <w:rPr>
                <w:rFonts w:ascii="Arial" w:cs="Arial" w:eastAsia="Arial" w:hAnsi="Arial"/>
                <w:sz w:val="16"/>
                <w:szCs w:val="16"/>
                <w:color w:val="auto"/>
              </w:rPr>
              <w:t xml:space="preserve">Commitments and Contingencies (see </w:t>
            </w:r>
            <w:hyperlink w:anchor="page73">
              <w:r>
                <w:rPr>
                  <w:rFonts w:ascii="Arial" w:cs="Arial" w:eastAsia="Arial" w:hAnsi="Arial"/>
                  <w:sz w:val="16"/>
                  <w:szCs w:val="16"/>
                  <w:color w:val="0000FF"/>
                </w:rPr>
                <w:t xml:space="preserve">Note </w:t>
              </w:r>
            </w:hyperlink>
            <w:r>
              <w:rPr>
                <w:rFonts w:ascii="Arial" w:cs="Arial" w:eastAsia="Arial" w:hAnsi="Arial"/>
                <w:sz w:val="16"/>
                <w:szCs w:val="16"/>
                <w:color w:val="auto"/>
              </w:rPr>
              <w:t>16)</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25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Stockholders’ equity:</w:t>
            </w:r>
          </w:p>
        </w:tc>
        <w:tc>
          <w:tcPr>
            <w:tcW w:w="520" w:type="dxa"/>
            <w:vAlign w:val="bottom"/>
            <w:tcBorders>
              <w:top w:val="single" w:sz="8" w:color="0000FF"/>
            </w:tcBorders>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Preferred stock, $.01 par value; 2,000,000 shares authorized; none issued and outstanding</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40" w:type="dxa"/>
            <w:vAlign w:val="bottom"/>
            <w:gridSpan w:val="3"/>
          </w:tcPr>
          <w:p>
            <w:pPr>
              <w:ind w:left="140"/>
              <w:spacing w:after="0"/>
              <w:rPr>
                <w:sz w:val="20"/>
                <w:szCs w:val="20"/>
                <w:color w:val="auto"/>
              </w:rPr>
            </w:pPr>
            <w:r>
              <w:rPr>
                <w:rFonts w:ascii="Arial" w:cs="Arial" w:eastAsia="Arial" w:hAnsi="Arial"/>
                <w:sz w:val="16"/>
                <w:szCs w:val="16"/>
                <w:color w:val="auto"/>
              </w:rPr>
              <w:t>Common stock, $.01 par value; 60,000,000 shares authorized; 40,653,035 and 35,512,843 shares issued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279,741</w:t>
            </w:r>
          </w:p>
        </w:tc>
      </w:tr>
      <w:tr>
        <w:trPr>
          <w:trHeight w:val="213"/>
        </w:trPr>
        <w:tc>
          <w:tcPr>
            <w:tcW w:w="8440" w:type="dxa"/>
            <w:vAlign w:val="bottom"/>
            <w:gridSpan w:val="3"/>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180,692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170,330</w:t>
            </w:r>
          </w:p>
        </w:tc>
      </w:tr>
      <w:tr>
        <w:trPr>
          <w:trHeight w:val="219"/>
        </w:trPr>
        <w:tc>
          <w:tcPr>
            <w:tcW w:w="8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(23,817)</w:t>
            </w:r>
          </w:p>
        </w:tc>
      </w:tr>
      <w:tr>
        <w:trPr>
          <w:trHeight w:val="213"/>
        </w:trPr>
        <w:tc>
          <w:tcPr>
            <w:tcW w:w="844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Treasury stock, at cost, 6,390,645 and 6,353,094 shares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(55,109)</w:t>
            </w:r>
          </w:p>
        </w:tc>
      </w:tr>
      <w:tr>
        <w:trPr>
          <w:trHeight w:val="209"/>
        </w:trPr>
        <w:tc>
          <w:tcPr>
            <w:tcW w:w="84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472,517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371,500</w:t>
            </w:r>
          </w:p>
        </w:tc>
      </w:tr>
      <w:tr>
        <w:trPr>
          <w:trHeight w:val="213"/>
        </w:trPr>
        <w:tc>
          <w:tcPr>
            <w:tcW w:w="8440" w:type="dxa"/>
            <w:vAlign w:val="bottom"/>
            <w:gridSpan w:val="3"/>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619,531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528,682</w:t>
            </w:r>
          </w:p>
        </w:tc>
      </w:tr>
      <w:tr>
        <w:trPr>
          <w:trHeight w:val="21"/>
        </w:trPr>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center"/>
              <w:ind w:left="621"/>
              <w:spacing w:after="0"/>
              <w:rPr>
                <w:sz w:val="20"/>
                <w:szCs w:val="20"/>
                <w:color w:val="auto"/>
              </w:rPr>
            </w:pPr>
            <w:r>
              <w:rPr>
                <w:rFonts w:ascii="Arial" w:cs="Arial" w:eastAsia="Arial" w:hAnsi="Arial"/>
                <w:sz w:val="16"/>
                <w:szCs w:val="16"/>
                <w:color w:val="auto"/>
                <w:w w:val="85"/>
              </w:rPr>
              <w:t>Year ended September 30,</w:t>
            </w:r>
          </w:p>
        </w:tc>
        <w:tc>
          <w:tcPr>
            <w:tcW w:w="1000" w:type="dxa"/>
            <w:vAlign w:val="bottom"/>
            <w:tcBorders>
              <w:bottom w:val="single" w:sz="8" w:color="auto"/>
            </w:tcBorders>
          </w:tcPr>
          <w:p>
            <w:pPr>
              <w:spacing w:after="0"/>
              <w:rPr>
                <w:sz w:val="17"/>
                <w:szCs w:val="17"/>
                <w:color w:val="auto"/>
              </w:rPr>
            </w:pPr>
          </w:p>
        </w:tc>
      </w:tr>
      <w:tr>
        <w:trPr>
          <w:trHeight w:val="198"/>
        </w:trPr>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2019</w:t>
            </w:r>
          </w:p>
        </w:tc>
      </w:tr>
      <w:tr>
        <w:trPr>
          <w:trHeight w:val="197"/>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(in thousands)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Depreciation of property, equipment and improvements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w:t>
            </w:r>
          </w:p>
        </w:tc>
      </w:tr>
      <w:tr>
        <w:trPr>
          <w:trHeight w:val="201"/>
        </w:trPr>
        <w:tc>
          <w:tcPr>
            <w:tcW w:w="7120" w:type="dxa"/>
            <w:vAlign w:val="bottom"/>
            <w:gridSpan w:val="2"/>
          </w:tcPr>
          <w:p>
            <w:pPr>
              <w:ind w:left="360"/>
              <w:spacing w:after="0"/>
              <w:rPr>
                <w:sz w:val="20"/>
                <w:szCs w:val="20"/>
                <w:color w:val="auto"/>
              </w:rPr>
            </w:pPr>
            <w:r>
              <w:rPr>
                <w:rFonts w:ascii="Arial" w:cs="Arial" w:eastAsia="Arial" w:hAnsi="Arial"/>
                <w:sz w:val="16"/>
                <w:szCs w:val="16"/>
                <w:color w:val="auto"/>
              </w:rPr>
              <w:t>Amortization of identifiable intangible assets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14,754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8,818</w:t>
            </w:r>
          </w:p>
        </w:tc>
      </w:tr>
      <w:tr>
        <w:trPr>
          <w:trHeight w:val="20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r>
      <w:tr>
        <w:trPr>
          <w:trHeight w:val="201"/>
        </w:trPr>
        <w:tc>
          <w:tcPr>
            <w:tcW w:w="7120" w:type="dxa"/>
            <w:vAlign w:val="bottom"/>
            <w:gridSpan w:val="2"/>
          </w:tcPr>
          <w:p>
            <w:pPr>
              <w:ind w:left="360"/>
              <w:spacing w:after="0"/>
              <w:rPr>
                <w:sz w:val="20"/>
                <w:szCs w:val="20"/>
                <w:color w:val="auto"/>
              </w:rPr>
            </w:pPr>
            <w:r>
              <w:rPr>
                <w:rFonts w:ascii="Arial" w:cs="Arial" w:eastAsia="Arial" w:hAnsi="Arial"/>
                <w:sz w:val="16"/>
                <w:szCs w:val="16"/>
                <w:color w:val="auto"/>
              </w:rPr>
              <w:t>Deferred income tax provision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0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(gain) on sale of property, equipment and improvements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w:t>
            </w:r>
          </w:p>
        </w:tc>
      </w:tr>
      <w:tr>
        <w:trPr>
          <w:trHeight w:val="201"/>
        </w:trPr>
        <w:tc>
          <w:tcPr>
            <w:tcW w:w="7120" w:type="dxa"/>
            <w:vAlign w:val="bottom"/>
            <w:gridSpan w:val="2"/>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0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Provision for bad debt and product returns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01"/>
        </w:trPr>
        <w:tc>
          <w:tcPr>
            <w:tcW w:w="7120" w:type="dxa"/>
            <w:vAlign w:val="bottom"/>
            <w:gridSpan w:val="2"/>
          </w:tcPr>
          <w:p>
            <w:pPr>
              <w:ind w:left="360"/>
              <w:spacing w:after="0"/>
              <w:rPr>
                <w:sz w:val="20"/>
                <w:szCs w:val="20"/>
                <w:color w:val="auto"/>
              </w:rPr>
            </w:pPr>
            <w:r>
              <w:rPr>
                <w:rFonts w:ascii="Arial" w:cs="Arial" w:eastAsia="Arial" w:hAnsi="Arial"/>
                <w:sz w:val="16"/>
                <w:szCs w:val="16"/>
                <w:color w:val="auto"/>
              </w:rPr>
              <w:t>Provision for inventory obsolescence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1,874</w:t>
            </w:r>
          </w:p>
        </w:tc>
      </w:tr>
      <w:tr>
        <w:trPr>
          <w:trHeight w:val="204"/>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1"/>
        </w:trPr>
        <w:tc>
          <w:tcPr>
            <w:tcW w:w="7120" w:type="dxa"/>
            <w:vAlign w:val="bottom"/>
            <w:gridSpan w:val="2"/>
          </w:tcPr>
          <w:p>
            <w:pPr>
              <w:ind w:left="360"/>
              <w:spacing w:after="0"/>
              <w:rPr>
                <w:sz w:val="20"/>
                <w:szCs w:val="20"/>
                <w:color w:val="auto"/>
              </w:rPr>
            </w:pPr>
            <w:r>
              <w:rPr>
                <w:rFonts w:ascii="Arial" w:cs="Arial" w:eastAsia="Arial" w:hAnsi="Arial"/>
                <w:sz w:val="16"/>
                <w:szCs w:val="16"/>
                <w:color w:val="auto"/>
              </w:rPr>
              <w:t>Changes in operating assets and liabilities (net of acquisitions):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71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r>
      <w:tr>
        <w:trPr>
          <w:trHeight w:val="201"/>
        </w:trPr>
        <w:tc>
          <w:tcPr>
            <w:tcW w:w="7120" w:type="dxa"/>
            <w:vAlign w:val="bottom"/>
            <w:gridSpan w:val="2"/>
          </w:tcPr>
          <w:p>
            <w:pPr>
              <w:ind w:left="56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204"/>
        </w:trPr>
        <w:tc>
          <w:tcPr>
            <w:tcW w:w="71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01"/>
        </w:trPr>
        <w:tc>
          <w:tcPr>
            <w:tcW w:w="7120" w:type="dxa"/>
            <w:vAlign w:val="bottom"/>
            <w:gridSpan w:val="2"/>
          </w:tcPr>
          <w:p>
            <w:pPr>
              <w:ind w:left="56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4"/>
        </w:trPr>
        <w:tc>
          <w:tcPr>
            <w:tcW w:w="71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w:t>
            </w:r>
          </w:p>
        </w:tc>
      </w:tr>
      <w:tr>
        <w:trPr>
          <w:trHeight w:val="201"/>
        </w:trPr>
        <w:tc>
          <w:tcPr>
            <w:tcW w:w="712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r>
      <w:tr>
        <w:trPr>
          <w:trHeight w:val="197"/>
        </w:trPr>
        <w:tc>
          <w:tcPr>
            <w:tcW w:w="71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34,478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28,964</w:t>
            </w:r>
          </w:p>
        </w:tc>
      </w:tr>
      <w:tr>
        <w:trPr>
          <w:trHeight w:val="192"/>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maturities of marketable securities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(136,098)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equipment and improvements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w:t>
            </w:r>
          </w:p>
        </w:tc>
      </w:tr>
      <w:tr>
        <w:trPr>
          <w:trHeight w:val="201"/>
        </w:trPr>
        <w:tc>
          <w:tcPr>
            <w:tcW w:w="7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Purchase of property, equipment, improvements and certain other intangible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(9,335)</w:t>
            </w:r>
          </w:p>
        </w:tc>
      </w:tr>
      <w:tr>
        <w:trPr>
          <w:trHeight w:val="197"/>
        </w:trPr>
        <w:tc>
          <w:tcPr>
            <w:tcW w:w="71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5,511</w:t>
            </w:r>
          </w:p>
        </w:tc>
      </w:tr>
      <w:tr>
        <w:trPr>
          <w:trHeight w:val="192"/>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7"/>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long-term debt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119,018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Payments on long-term debt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(55,893)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for contingent consideration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issuances of stock, net of offering expenses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73,830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stock option plan transactions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Proceeds from employee stock purchase plan transactions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Taxes paid for net share settlement of share-based payment awards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195"/>
        </w:trPr>
        <w:tc>
          <w:tcPr>
            <w:tcW w:w="7120" w:type="dxa"/>
            <w:vAlign w:val="bottom"/>
            <w:gridSpan w:val="2"/>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63,603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04"/>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195"/>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(38,663)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34,778</w:t>
            </w:r>
          </w:p>
        </w:tc>
      </w:tr>
      <w:tr>
        <w:trPr>
          <w:trHeight w:val="203"/>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54,129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92,792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58,014</w:t>
            </w:r>
          </w:p>
        </w:tc>
      </w:tr>
      <w:tr>
        <w:trPr>
          <w:trHeight w:val="197"/>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54,129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92,792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
        </w:trPr>
        <w:tc>
          <w:tcPr>
            <w:tcW w:w="7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01"/>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3,686</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04"/>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schedule of non-cash investing and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Accrual for property, equipment, improvements and certain other intangibles assets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Tenant improvement allowance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Transfer of inventory to property, equipment and improvements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(1,064)</w:t>
            </w:r>
          </w:p>
        </w:tc>
      </w:tr>
      <w:tr>
        <w:trPr>
          <w:trHeight w:val="204"/>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Liability related to acquisition of business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120" w:type="dxa"/>
            <w:vAlign w:val="bottom"/>
            <w:gridSpan w:val="2"/>
          </w:tcPr>
          <w:p>
            <w:pPr>
              <w:ind w:left="140"/>
              <w:spacing w:after="0"/>
              <w:rPr>
                <w:sz w:val="20"/>
                <w:szCs w:val="20"/>
                <w:color w:val="auto"/>
              </w:rPr>
            </w:pPr>
            <w:r>
              <w:rPr>
                <w:rFonts w:ascii="Arial" w:cs="Arial" w:eastAsia="Arial" w:hAnsi="Arial"/>
                <w:sz w:val="16"/>
                <w:szCs w:val="16"/>
                <w:color w:val="auto"/>
              </w:rPr>
              <w:t>Term debt refinanced as credit facility</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860" w:type="dxa"/>
            <w:vAlign w:val="bottom"/>
            <w:gridSpan w:val="3"/>
          </w:tcPr>
          <w:p>
            <w:pPr>
              <w:ind w:left="20"/>
              <w:spacing w:after="0"/>
              <w:rPr>
                <w:sz w:val="20"/>
                <w:szCs w:val="20"/>
                <w:color w:val="auto"/>
              </w:rPr>
            </w:pPr>
            <w:r>
              <w:rPr>
                <w:rFonts w:ascii="Arial" w:cs="Arial" w:eastAsia="Arial" w:hAnsi="Arial"/>
                <w:sz w:val="15"/>
                <w:szCs w:val="15"/>
                <w:color w:val="auto"/>
                <w:w w:val="96"/>
              </w:rPr>
              <w:t>For fiscal years ended September 30, 2021, 2020 and 2019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Accumulated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color w:val="auto"/>
              </w:rPr>
              <w:t>Additional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color w:val="auto"/>
                <w:w w:val="90"/>
              </w:rPr>
              <w:t>Other</w:t>
            </w:r>
          </w:p>
        </w:tc>
        <w:tc>
          <w:tcPr>
            <w:tcW w:w="120" w:type="dxa"/>
            <w:vAlign w:val="bottom"/>
          </w:tcPr>
          <w:p>
            <w:pPr>
              <w:spacing w:after="0"/>
              <w:rPr>
                <w:sz w:val="17"/>
                <w:szCs w:val="17"/>
                <w:color w:val="auto"/>
              </w:rPr>
            </w:pPr>
          </w:p>
        </w:tc>
        <w:tc>
          <w:tcPr>
            <w:tcW w:w="1060" w:type="dxa"/>
            <w:vAlign w:val="bottom"/>
          </w:tcPr>
          <w:p>
            <w:pPr>
              <w:jc w:val="center"/>
              <w:ind w:right="63"/>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720" w:type="dxa"/>
            <w:vAlign w:val="bottom"/>
            <w:gridSpan w:val="5"/>
          </w:tcPr>
          <w:p>
            <w:pPr>
              <w:ind w:left="320"/>
              <w:spacing w:after="0"/>
              <w:rPr>
                <w:sz w:val="20"/>
                <w:szCs w:val="20"/>
                <w:color w:val="auto"/>
              </w:rPr>
            </w:pPr>
            <w:r>
              <w:rPr>
                <w:rFonts w:ascii="Arial" w:cs="Arial" w:eastAsia="Arial" w:hAnsi="Arial"/>
                <w:sz w:val="15"/>
                <w:szCs w:val="15"/>
                <w:color w:val="auto"/>
              </w:rPr>
              <w:t>Common Stock</w:t>
            </w:r>
          </w:p>
        </w:tc>
        <w:tc>
          <w:tcPr>
            <w:tcW w:w="1720" w:type="dxa"/>
            <w:vAlign w:val="bottom"/>
            <w:gridSpan w:val="5"/>
          </w:tcPr>
          <w:p>
            <w:pPr>
              <w:jc w:val="center"/>
              <w:ind w:right="120"/>
              <w:spacing w:after="0"/>
              <w:rPr>
                <w:sz w:val="20"/>
                <w:szCs w:val="20"/>
                <w:color w:val="auto"/>
              </w:rPr>
            </w:pPr>
            <w:r>
              <w:rPr>
                <w:rFonts w:ascii="Arial" w:cs="Arial" w:eastAsia="Arial" w:hAnsi="Arial"/>
                <w:sz w:val="15"/>
                <w:szCs w:val="15"/>
                <w:color w:val="auto"/>
                <w:w w:val="91"/>
              </w:rPr>
              <w:t>Treasury Stock</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Paid-In</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color w:val="auto"/>
              </w:rPr>
              <w:t>Retained</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color w:val="auto"/>
                <w:w w:val="91"/>
              </w:rPr>
              <w:t>Comprehensive</w:t>
            </w:r>
          </w:p>
        </w:tc>
        <w:tc>
          <w:tcPr>
            <w:tcW w:w="120" w:type="dxa"/>
            <w:vAlign w:val="bottom"/>
          </w:tcPr>
          <w:p>
            <w:pPr>
              <w:spacing w:after="0"/>
              <w:rPr>
                <w:sz w:val="17"/>
                <w:szCs w:val="17"/>
                <w:color w:val="auto"/>
              </w:rPr>
            </w:pPr>
          </w:p>
        </w:tc>
        <w:tc>
          <w:tcPr>
            <w:tcW w:w="1060" w:type="dxa"/>
            <w:vAlign w:val="bottom"/>
          </w:tcPr>
          <w:p>
            <w:pPr>
              <w:jc w:val="center"/>
              <w:ind w:right="63"/>
              <w:spacing w:after="0"/>
              <w:rPr>
                <w:sz w:val="20"/>
                <w:szCs w:val="20"/>
                <w:color w:val="auto"/>
              </w:rPr>
            </w:pPr>
            <w:r>
              <w:rPr>
                <w:rFonts w:ascii="Arial" w:cs="Arial" w:eastAsia="Arial" w:hAnsi="Arial"/>
                <w:sz w:val="15"/>
                <w:szCs w:val="15"/>
                <w:color w:val="auto"/>
                <w:w w:val="93"/>
              </w:rPr>
              <w:t>Stockholders’</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5"/>
                <w:szCs w:val="15"/>
                <w:color w:val="auto"/>
              </w:rPr>
              <w:t>Par Value</w:t>
            </w:r>
          </w:p>
        </w:tc>
        <w:tc>
          <w:tcPr>
            <w:tcW w:w="760" w:type="dxa"/>
            <w:vAlign w:val="bottom"/>
            <w:gridSpan w:val="2"/>
          </w:tcPr>
          <w:p>
            <w:pPr>
              <w:ind w:left="120"/>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Value</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Capital</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Loss</w:t>
            </w:r>
          </w:p>
        </w:tc>
        <w:tc>
          <w:tcPr>
            <w:tcW w:w="120" w:type="dxa"/>
            <w:vAlign w:val="bottom"/>
          </w:tcPr>
          <w:p>
            <w:pPr>
              <w:spacing w:after="0"/>
              <w:rPr>
                <w:sz w:val="17"/>
                <w:szCs w:val="17"/>
                <w:color w:val="auto"/>
              </w:rPr>
            </w:pPr>
          </w:p>
        </w:tc>
        <w:tc>
          <w:tcPr>
            <w:tcW w:w="1060" w:type="dxa"/>
            <w:vAlign w:val="bottom"/>
          </w:tcPr>
          <w:p>
            <w:pPr>
              <w:jc w:val="center"/>
              <w:ind w:right="63"/>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September 30,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338</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255,936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151,961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330,493</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9,958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9,958</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1,058</w:t>
            </w:r>
          </w:p>
        </w:tc>
        <w:tc>
          <w:tcPr>
            <w:tcW w:w="0" w:type="dxa"/>
            <w:vAlign w:val="bottom"/>
          </w:tcPr>
          <w:p>
            <w:pPr>
              <w:spacing w:after="0"/>
              <w:rPr>
                <w:sz w:val="1"/>
                <w:szCs w:val="1"/>
                <w:color w:val="auto"/>
              </w:rPr>
            </w:pPr>
          </w:p>
        </w:tc>
      </w:tr>
      <w:tr>
        <w:trPr>
          <w:trHeight w:val="153"/>
        </w:trPr>
        <w:tc>
          <w:tcPr>
            <w:tcW w:w="30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Taxes paid for net share settlement of share-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60" w:type="dxa"/>
            <w:vAlign w:val="bottom"/>
          </w:tcPr>
          <w:p>
            <w:pPr>
              <w:jc w:val="right"/>
              <w:spacing w:after="0"/>
              <w:rPr>
                <w:sz w:val="20"/>
                <w:szCs w:val="20"/>
                <w:color w:val="auto"/>
              </w:rPr>
            </w:pPr>
            <w:r>
              <w:rPr>
                <w:rFonts w:ascii="Arial" w:cs="Arial" w:eastAsia="Arial" w:hAnsi="Arial"/>
                <w:sz w:val="15"/>
                <w:szCs w:val="15"/>
                <w:color w:val="auto"/>
              </w:rPr>
              <w:t>795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4,874</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5,655</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5,655</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5"/>
                <w:szCs w:val="15"/>
                <w:color w:val="auto"/>
              </w:rPr>
              <w:t>Balances, September 30, 2019</w:t>
            </w:r>
          </w:p>
        </w:tc>
        <w:tc>
          <w:tcPr>
            <w:tcW w:w="660" w:type="dxa"/>
            <w:vAlign w:val="bottom"/>
          </w:tcPr>
          <w:p>
            <w:pPr>
              <w:jc w:val="right"/>
              <w:spacing w:after="0"/>
              <w:rPr>
                <w:sz w:val="20"/>
                <w:szCs w:val="20"/>
                <w:color w:val="auto"/>
              </w:rPr>
            </w:pPr>
            <w:r>
              <w:rPr>
                <w:rFonts w:ascii="Arial" w:cs="Arial" w:eastAsia="Arial" w:hAnsi="Arial"/>
                <w:sz w:val="15"/>
                <w:szCs w:val="15"/>
                <w:color w:val="auto"/>
              </w:rPr>
              <w:t>34,608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6,367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(54,339)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266,567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161,919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(25,515)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348,978</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8,411</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1,698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1,698</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Arial" w:cs="Arial" w:eastAsia="Arial" w:hAnsi="Arial"/>
                <w:sz w:val="15"/>
                <w:szCs w:val="15"/>
                <w:color w:val="auto"/>
              </w:rPr>
              <w:t>Taxes paid for net share settlement of share-</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(1,791)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(1,791)</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5,902</w:t>
            </w:r>
          </w:p>
        </w:tc>
        <w:tc>
          <w:tcPr>
            <w:tcW w:w="0" w:type="dxa"/>
            <w:vAlign w:val="bottom"/>
          </w:tcPr>
          <w:p>
            <w:pPr>
              <w:spacing w:after="0"/>
              <w:rPr>
                <w:sz w:val="1"/>
                <w:szCs w:val="1"/>
                <w:color w:val="auto"/>
              </w:rPr>
            </w:pPr>
          </w:p>
        </w:tc>
      </w:tr>
      <w:tr>
        <w:trPr>
          <w:trHeight w:val="198"/>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7,237</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7,237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Balances, September 30, 2020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35,513</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355</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6,353</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(55,109)</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279,741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170,330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(23,817)</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371,500</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10,366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10,366</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1,071</w:t>
            </w: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net of offering</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4,025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73,790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73,830</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expenses</w:t>
            </w: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153"/>
        </w:trPr>
        <w:tc>
          <w:tcPr>
            <w:tcW w:w="30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Taxes paid for net share settlement of share-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(2,120)</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60" w:type="dxa"/>
            <w:vAlign w:val="bottom"/>
          </w:tcPr>
          <w:p>
            <w:pPr>
              <w:jc w:val="right"/>
              <w:spacing w:after="0"/>
              <w:rPr>
                <w:sz w:val="20"/>
                <w:szCs w:val="20"/>
                <w:color w:val="auto"/>
              </w:rPr>
            </w:pPr>
            <w:r>
              <w:rPr>
                <w:rFonts w:ascii="Arial" w:cs="Arial" w:eastAsia="Arial" w:hAnsi="Arial"/>
                <w:sz w:val="15"/>
                <w:szCs w:val="15"/>
                <w:color w:val="auto"/>
              </w:rPr>
              <w:t>1,115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8,525</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8,135</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8,135</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Balances, September 30, 2021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40,653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407</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(56,535)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370,699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180,692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472,517</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9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are a leading global provider of business and mission-critical IoT connectivity products, services and solutions. We help our customers create next-generation connected products to deploy, monitor and manage critical communications infrastructures and compliance standards in demanding environments with high levels of security and reliability. We have two reportable operating segments: (i) IoT Products &amp; Services; and (ii) IoT Solutions.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consolidated financial statements include our accounts and the accounts of our wholly-owned subsidiaries. All intercompany accounts and transactions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Estimates</w:t>
      </w:r>
    </w:p>
    <w:p>
      <w:pPr>
        <w:spacing w:after="0" w:line="25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Cash equivalents consist of money market accounts and other highly liquid investments purchased with an original maturity of three months or less. The carrying amounts approximate fair value due to the short maturities of these investments. We maintain our cash and cash equivalents in bank accounts which may exceed federally insured limits at times. We have not experienced any losses in these accounts.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Accounts receivable are stated at the amount we expect to collect. This amount is net of an allowance for credit losses for estimated losses resulting from the inability of our customers to make required payments and a reserve for future credit returns and pricing adjustments. The following factors are considered when determining the collectability of specific customer accounts: customer creditworthiness, past transaction history with the customer, and changes in customer payment terms or practices. In addition, overall historical collection experience, current economic industry trends, and a review of the current status of trade accounts receivable are considered when determining the required allowance for credit losses. Based on our assessment, we provide for estimated uncollectible amounts through a charge to earnings and a credit to our allowance for credit losses. Balances that remain outstanding after we have used reasonable collection efforts are written off through a charge to the allowance for credit losses and a credit to accounts receivable.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Estimated sales returns for our distributor stock rotation program are accounted for under the guidance of Accounting Standard Codification (ASC) 845 </w:t>
      </w:r>
      <w:r>
        <w:rPr>
          <w:rFonts w:ascii="Arial" w:cs="Arial" w:eastAsia="Arial" w:hAnsi="Arial"/>
          <w:sz w:val="16"/>
          <w:szCs w:val="16"/>
          <w:i w:val="1"/>
          <w:iCs w:val="1"/>
          <w:color w:val="auto"/>
        </w:rPr>
        <w:t>Nonmonetary Transactions</w:t>
      </w:r>
      <w:r>
        <w:rPr>
          <w:rFonts w:ascii="Arial" w:cs="Arial" w:eastAsia="Arial" w:hAnsi="Arial"/>
          <w:sz w:val="16"/>
          <w:szCs w:val="16"/>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allowance for credit losses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 ended September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0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3,778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2,803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2,534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Uncollectible accounts charged to allowance, net of recoveries</w:t>
            </w:r>
          </w:p>
        </w:tc>
        <w:tc>
          <w:tcPr>
            <w:tcW w:w="30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(2,647)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0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3,934</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3,778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20" w:type="dxa"/>
            <w:vAlign w:val="bottom"/>
            <w:vMerge w:val="restart"/>
          </w:tcPr>
          <w:p>
            <w:pPr>
              <w:jc w:val="right"/>
              <w:ind w:right="2250"/>
              <w:spacing w:after="0"/>
              <w:rPr>
                <w:sz w:val="20"/>
                <w:szCs w:val="20"/>
                <w:color w:val="auto"/>
              </w:rPr>
            </w:pPr>
            <w:r>
              <w:rPr>
                <w:rFonts w:ascii="Arial" w:cs="Arial" w:eastAsia="Arial" w:hAnsi="Arial"/>
                <w:sz w:val="18"/>
                <w:szCs w:val="18"/>
                <w:color w:val="auto"/>
              </w:rPr>
              <w:t>44</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Inventories are valued at the lower of cost or net realizable value using the first-in, first-out (FIFO) method. Appropriate consideration is given to deterioration, obsolescence and other factors in evaluating net realizable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Improvements, Net</w:t>
      </w:r>
    </w:p>
    <w:p>
      <w:pPr>
        <w:spacing w:after="0" w:line="19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Property, equipment and improvements are carried at cost, net of accumulated depreciation. Depreciation is provided by charges to operations using the straight-line method over the estimated asset useful lives. Furniture and fixtures, purchased software and other equipment are depreciated over a period of three years to ten years. Building improvements and buildings are depreciated over ten years and 39 years, respectively. Leasehold improvements are depreciated over the shorter of the lease term or the estimated useful life of the asset. Long-lived assets to be held and used, such as property, equipment and improvements, are reviewed for impairment whenever events or changes in circumstances indicate that the carrying amount may not be recoverable.</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Purchased proven technology, license agreements, covenants not to compete and other identifiable intangible assets are recorded at fair value when acquired in a business acquisition, or at cost when not purchased in a business acquisition. All other identifiable intangible assets are amortized on a straight-line basis over their estimated useful lives of three years to 14.5 years. Useful lives for identifiable intangible assets are estimated at the time of acquisition based on the periods of time from which we expect to derive benefits from the identifiable intangible assets. Amortization of purchased and core technology is included in cost of sales in the Consolidated Statements of Operations. Amortization of all other acquired identifiable intangible assets is charged to operating expenses as a component of general and administrative expense.</w:t>
      </w:r>
    </w:p>
    <w:p>
      <w:pPr>
        <w:spacing w:after="0" w:line="1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Identifiable intangible assets are reviewed for impairment whenever events or circumstances indicate that undiscounted expected future cash flows are not sufficient to recover the carrying value amount. Impairment losses, if any, are recorded in the period the impairment is identified. There were no impairments identified in fiscal 2021, 2020 or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Goodwill represents the excess of cost over the fair value of identifiable assets acquired. Goodwill is quantitatively tested for impairment on an annual basis as of June 30, or more frequently if events or circumstances occur which could indicate impairment.</w:t>
      </w:r>
    </w:p>
    <w:p>
      <w:pPr>
        <w:spacing w:after="0" w:line="130" w:lineRule="exact"/>
        <w:rPr>
          <w:sz w:val="20"/>
          <w:szCs w:val="20"/>
          <w:color w:val="auto"/>
        </w:rPr>
      </w:pPr>
    </w:p>
    <w:p>
      <w:pPr>
        <w:ind w:right="2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We have two reportable operating segments, our IoT Products &amp; Services segment and our IoT Solutions segment (see </w:t>
      </w:r>
      <w:hyperlink w:anchor="page57">
        <w:r>
          <w:rPr>
            <w:rFonts w:ascii="Arial" w:cs="Arial" w:eastAsia="Arial" w:hAnsi="Arial"/>
            <w:sz w:val="16"/>
            <w:szCs w:val="16"/>
            <w:u w:val="single" w:color="auto"/>
            <w:color w:val="0000FF"/>
          </w:rPr>
          <w:t>Note 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consolidated financial statements). Effective with the reorganization announcement on October 7, 2020 (see </w:t>
      </w:r>
      <w:hyperlink w:anchor="page64">
        <w:r>
          <w:rPr>
            <w:rFonts w:ascii="Arial" w:cs="Arial" w:eastAsia="Arial" w:hAnsi="Arial"/>
            <w:sz w:val="16"/>
            <w:szCs w:val="16"/>
            <w:u w:val="single" w:color="auto"/>
            <w:color w:val="0000FF"/>
          </w:rPr>
          <w:t>Note 10</w:t>
        </w:r>
      </w:hyperlink>
      <w:r>
        <w:rPr>
          <w:rFonts w:ascii="Arial" w:cs="Arial" w:eastAsia="Arial" w:hAnsi="Arial"/>
          <w:sz w:val="16"/>
          <w:szCs w:val="16"/>
          <w:color w:val="auto"/>
        </w:rPr>
        <w:t>), our IoT Products &amp; Services business is now structured to include four reporting units under the IoT Products &amp; Services segment, each with a reporting manager: Cellular Routers, Console Servers, OEM Solutions and Infrastructure Management. We have four reporting units along with our IoT Solutions segment that have been tested individually for impairment.</w:t>
      </w:r>
    </w:p>
    <w:p>
      <w:pPr>
        <w:spacing w:after="0" w:line="117" w:lineRule="exact"/>
        <w:rPr>
          <w:sz w:val="20"/>
          <w:szCs w:val="20"/>
          <w:color w:val="auto"/>
        </w:rPr>
      </w:pPr>
    </w:p>
    <w:p>
      <w:pPr>
        <w:ind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Due to the reorganization on October 7, 2020 (see </w:t>
      </w:r>
      <w:hyperlink w:anchor="page64">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we performed an interim impairment test in addition to our annual test as of June 30, 2021. Our goodwill impairment tests as of October 7, 2020 and June 30, 2021 indicated no impairment (see </w:t>
      </w:r>
      <w:hyperlink w:anchor="page54">
        <w:r>
          <w:rPr>
            <w:rFonts w:ascii="Arial" w:cs="Arial" w:eastAsia="Arial" w:hAnsi="Arial"/>
            <w:sz w:val="18"/>
            <w:szCs w:val="18"/>
            <w:u w:val="single" w:color="auto"/>
            <w:color w:val="0000FF"/>
          </w:rPr>
          <w:t>Note 3</w:t>
        </w:r>
      </w:hyperlink>
      <w:r>
        <w:rPr>
          <w:rFonts w:ascii="Arial" w:cs="Arial" w:eastAsia="Arial" w:hAnsi="Arial"/>
          <w:sz w:val="18"/>
          <w:szCs w:val="18"/>
          <w:color w:val="auto"/>
        </w:rPr>
        <w:t>). During the fourth quarter of fiscal 2021, we assessed various qualitative factors to determine whether or not an additional goodwill impairment assessment was required as of September 30, 2021, and we concluded that no additional impairment assessment was required.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measure our contingent consideration liabilities recognized in connection with business combinations at fair value on a recurring basis using significant unobservable inputs classified within Level 3 of the fair value hierarchy as defined in ASC 820 "Fair Value Measurement". We used a probability-weighted discounted cash flow approach as a valuation technique to determine the fair value of the contingent consideration on the acquisition date. At each subsequent reporting period, the fair value is re-measured with the change in fair value recognized in general and administrative expense in our Consolidated</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Statements of Operations. Amounts, if any, paid to the seller in excess of the amount recorded on the acquisition date will be classified as cash flows used in operating activities. Payments to the seller not exceeding the acquisition-date fair value of the contingent consideration will be classified as cash flows used in financing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w:t>
      </w:r>
    </w:p>
    <w:p>
      <w:pPr>
        <w:spacing w:after="0" w:line="185"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In general, we warrant our hardware products to be free from defects in material and workmanship under normal use and service. The warranty periods generally range from one year to five years. We typically have the option to either repair or replace hardware products we deem defective with regard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w:t>
      </w:r>
    </w:p>
    <w:p>
      <w:pPr>
        <w:spacing w:after="0" w:line="14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also warrant our software or firmware incorporated into our products generally for a period of one year and offer to provide a bug fix or software patch within a reasonable period. We have not accrued specifically for this warranty and have not had claims specifically related to software or firmware. We are not responsible for, and do not warrant that, custom software versions, created by OEM customers based upon our software source code, will function in a particular way, will conform to any specifications or are fit for any particular purpose. Further, we do not indemnify these customers from any third-party liability as it relates to or arises from any customization or modifications made by the OEM customer.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2"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We record treasury stock at cost. Treasury stock may be acquired from employees for tax withholding purposes related to vesting of restricted stock awards as part of our stock-based compensation program and issued pursuant to the Employee Stock Purchase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hardware product revenue upon transfer of control of goods or services to customers in an amount that reflects the consideration we expect to receive in exchange for those goods or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amount of revenue to be recognized through application of the following steps:</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recognition of revenue when or as we satisfy the performance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 Revenue and SmartSense by Digi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Equipment Revenue and Associated Installation Fees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Our hardware product revenue is derived primarily from the sale of wired and wireless hardware products to our distributors and direct/original equipment manufacturer (“Direct/OEM”) customers. Product revenue generally is recognized upon shipment of the product to a customer. Sales to authorized domestic distributors and Direct/OEM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Material differences between the historical trends used to determine estimated reserves and actual credit returns and pricing adjustments could result in a material change to our consolidated results of operations or financial position. Estimated sales returns for our distributor stock rotation program are accounted for under the guidance of ASC 845 </w:t>
      </w:r>
      <w:r>
        <w:rPr>
          <w:rFonts w:ascii="Arial" w:cs="Arial" w:eastAsia="Arial" w:hAnsi="Arial"/>
          <w:sz w:val="16"/>
          <w:szCs w:val="16"/>
          <w:i w:val="1"/>
          <w:iCs w:val="1"/>
          <w:color w:val="auto"/>
        </w:rPr>
        <w:t>Nonmonetary Transactions</w:t>
      </w:r>
      <w:r>
        <w:rPr>
          <w:rFonts w:ascii="Arial" w:cs="Arial" w:eastAsia="Arial" w:hAnsi="Arial"/>
          <w:sz w:val="16"/>
          <w:szCs w:val="16"/>
          <w:color w:val="auto"/>
        </w:rPr>
        <w:t>.</w:t>
      </w:r>
    </w:p>
    <w:p>
      <w:pPr>
        <w:spacing w:after="0" w:line="13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Equipment revenue from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within our IoT Solutions segment is recognized upon shipment of the equipment to a customer. Installation service charges from these sales are recorded when the product is installed.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Support Services Revenue</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SmartSense by Digi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subscription revenue is recorded on a monthly basis. These subscriptions are generally in a range from one year to five years, and may contain an evergreen renewal provision. Generally, our subscription renewal charges per month are the same as the original contract term.</w:t>
      </w:r>
    </w:p>
    <w:p>
      <w:pPr>
        <w:spacing w:after="0" w:line="114"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We derive service revenue from our Digi Remote Manager</w:t>
      </w:r>
      <w:r>
        <w:rPr>
          <w:rFonts w:ascii="Arial" w:cs="Arial" w:eastAsia="Arial" w:hAnsi="Arial"/>
          <w:sz w:val="23"/>
          <w:szCs w:val="23"/>
          <w:color w:val="auto"/>
          <w:vertAlign w:val="superscript"/>
        </w:rPr>
        <w:t>®</w:t>
      </w:r>
      <w:r>
        <w:rPr>
          <w:rFonts w:ascii="Arial" w:cs="Arial" w:eastAsia="Arial" w:hAnsi="Arial"/>
          <w:sz w:val="18"/>
          <w:szCs w:val="18"/>
          <w:color w:val="auto"/>
        </w:rPr>
        <w:t>,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1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Digi Support Services revenues are recognized over the life of the support contract and included in our IoT Products &amp; Services segment. Some of Digi Support Services revenue is for training and this revenue is recognized as the services are performed.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w:t>
      </w:r>
    </w:p>
    <w:p>
      <w:pPr>
        <w:spacing w:after="0" w:line="18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Professional services revenue is derived from our Digi Wireless Design Services contracts on either on a time-and-materials or a fixed-fee basis. These revenues, which are included in our IoT Products &amp; Services segment are recognized as the services are performed for time-and-materials contracts, or when milestones are achieved and accepted by the customer for fixed-fee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8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From time to time we have contracts from customers with multiple performance obligations. Our hardware products may be combined with our Digi Remote Manager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PaaS offering as well as other support services in an individual contract. Our SmartSense by Digi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typically are derived from contracts with multiple performance obligations. These obligations may include: delivery of monitoring equipment that the customer either purchases out-right or uses while we retain ownership, 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 out-right, that portion of the revenue is recognized at the stand-alone selling price at the time the equipment is shipped and all other revenue is recognized over the subscription term of the contract. We have made an accounting policy election to exclude from the measurement of our revenues any sales or similar taxes we collect from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costs are expensed when incurred. Research and development costs include compensation, allocation of corporate costs, depreciation, utilities, professional services and prototypes. Software and firmware development costs are expensed as incurred until the point that both the technological feasibility and the proven marketability of the product are established. To date, the time period between the establishment of technological feasibility and completion of software development has been short and no significant development costs have been incurred during that period. Accordingly, we have not capitalized any software development costs to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equal to the tax payable for the period and the change during the period in deferred tax assets and liabilities as well as changes in income tax reserves.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Stock-based compensation expense represents the cost of employee services received in exchange for an award of equity instruments based on the grant date fair value of the award. This cost must be recognized over the period during which an employee is required to provide the service (usually the vesting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Financial position and results of operations of our international subsidiaries are measured using local currencies as the functional currency. Assets and liabilities of these operations are translated at the exchange rates in effect at the end of each reporting period. For our international subsidiaries, our statements of operations accounts are translated at the weighted average rates of exchange prevailing during each reporting period. Translation adjustments arising from the use of differing currency exchange rates from period to period are included in accumulated other comprehensive loss in stockholders’ equity. Gains and losses on foreign currency exchange transactions, as well as translation gains or losses on transactions denominated in currencies other than an entity’s functional currency, are reflected in the statement of operations. During fiscal 2021, 2020 and 2019 there were net transaction (losses) gains of $(0.1) million, $(0.6) million and $0.4 million, respectively that were recorded in other income, net. We manage our net asset or net liability position for U.S. dollar accounts in our foreign locations to reduce our foreign currency risk. We have not implemented a formal hedging strategy.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8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Our comprehensive income is comprised of net income, foreign currency translation adjustments and unrealized gains and losses on available-for-sale marketable securities. These items are charged or credited to the accumulated other comprehensive loss account in stockholders’ equity.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18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Basic net income per common share is calculated based on the weighted average number of common shares outstanding during the period. Diluted net income per common share is computed by dividing net income by the weighted average number of common and potentially dilutive common shares outstanding during the period. Potentially dilutive common shares of our stock result from common stock options and restricted stock units. We use the treasury stock method to calculate the weighted-average shares used in the diluted earnings per share computation. Under this method the proceeds from exercise of an option, any amount of compensation cost for future service that we have not yet recognized, and the amount of estimated tax benefits that would be recorded in paid-in capital when the option is exercised are assumed to have been used to repurchase shares in the current period.</w:t>
      </w:r>
    </w:p>
    <w:p>
      <w:pPr>
        <w:spacing w:after="0" w:line="124"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The following table is a reconciliation of the numerators and denominators in the net income per common share calculations (in thousands, except per common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color w:val="auto"/>
              </w:rPr>
              <w:t>Year ended September 30,</w:t>
            </w:r>
          </w:p>
        </w:tc>
        <w:tc>
          <w:tcPr>
            <w:tcW w:w="960" w:type="dxa"/>
            <w:vAlign w:val="bottom"/>
            <w:tcBorders>
              <w:bottom w:val="single" w:sz="8" w:color="auto"/>
            </w:tcBorders>
          </w:tcPr>
          <w:p>
            <w:pPr>
              <w:spacing w:after="0"/>
              <w:rPr>
                <w:sz w:val="18"/>
                <w:szCs w:val="18"/>
                <w:color w:val="auto"/>
              </w:rPr>
            </w:pPr>
          </w:p>
        </w:tc>
      </w:tr>
      <w:tr>
        <w:trPr>
          <w:trHeight w:val="209"/>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9,958</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Denominator basic net income per common share — weighted average shares outstanding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32,111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27,905</w:t>
            </w: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Stock options and restricted stock units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r>
      <w:tr>
        <w:trPr>
          <w:trHeight w:val="213"/>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diluted net income per common share — adjusted weighted average shares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28,554</w:t>
            </w:r>
          </w:p>
        </w:tc>
      </w:tr>
      <w:tr>
        <w:trPr>
          <w:trHeight w:val="27"/>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per common share, 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00" w:type="dxa"/>
            <w:vAlign w:val="bottom"/>
          </w:tcPr>
          <w:p>
            <w:pPr>
              <w:ind w:left="140"/>
              <w:spacing w:after="0"/>
              <w:rPr>
                <w:sz w:val="20"/>
                <w:szCs w:val="20"/>
                <w:color w:val="auto"/>
              </w:rPr>
            </w:pPr>
            <w:r>
              <w:rPr>
                <w:rFonts w:ascii="Arial" w:cs="Arial" w:eastAsia="Arial" w:hAnsi="Arial"/>
                <w:sz w:val="16"/>
                <w:szCs w:val="16"/>
                <w:color w:val="auto"/>
              </w:rPr>
              <w:t>Net income per common share, 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Because their effect would be anti-dilutive at period end, certain potentially dilutive shares related to stock options to purchase common shares were excluded in the above computation of diluted earnings per share because the options’ exercise prices were greater than the average market price of our common shares. For the years ended September 30, 2021, 2020 and 2019, such excluded stock options were 35,160, 1,143,411 and 744,513, respectively.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Impacts of COVID-19 on our Business</w:t>
      </w:r>
    </w:p>
    <w:p>
      <w:pPr>
        <w:spacing w:after="0" w:line="185" w:lineRule="exact"/>
        <w:rPr>
          <w:sz w:val="20"/>
          <w:szCs w:val="20"/>
          <w:color w:val="auto"/>
        </w:rPr>
      </w:pPr>
    </w:p>
    <w:p>
      <w:pPr>
        <w:ind w:right="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impact of the coronavirus ("COVID-19") pandemic coIntinues to unfold. The extent of the pandemic's effect on our operational and financial performance will depend in large part on future developments, which cannot be reasonably estimated at this time. Future developments include the duration, scope and severity of the pandemic, the actions taken to contain or mitigate its impact both within and outside the jurisdictions where we operate, the impact on governmental programs and budgets, the development of treatments or vaccines, and the timing and level of resumption of widespread economic activity. Due to the inherent uncertainty of the unprecedented and rapidly evolving situation, we are unable to predict with any confidence the likely impact of the COVID-19 pandemic on our future operations. For a more detailed discussion see </w:t>
      </w:r>
      <w:hyperlink w:anchor="page3">
        <w:r>
          <w:rPr>
            <w:rFonts w:ascii="Arial" w:cs="Arial" w:eastAsia="Arial" w:hAnsi="Arial"/>
            <w:sz w:val="17"/>
            <w:szCs w:val="17"/>
            <w:u w:val="single" w:color="auto"/>
            <w:color w:val="0000FF"/>
          </w:rPr>
          <w:t>Part I, Item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"Management's Discussion and Analysis of Financial Condition and Results of Operations" in </w:t>
      </w:r>
      <w:hyperlink w:anchor="page26">
        <w:r>
          <w:rPr>
            <w:rFonts w:ascii="Arial" w:cs="Arial" w:eastAsia="Arial" w:hAnsi="Arial"/>
            <w:sz w:val="17"/>
            <w:szCs w:val="17"/>
            <w:u w:val="single" w:color="auto"/>
            <w:color w:val="0000FF"/>
          </w:rPr>
          <w:t>Part II, Item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9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2018-13, </w:t>
      </w:r>
      <w:r>
        <w:rPr>
          <w:rFonts w:ascii="Arial" w:cs="Arial" w:eastAsia="Arial" w:hAnsi="Arial"/>
          <w:sz w:val="17"/>
          <w:szCs w:val="17"/>
          <w:i w:val="1"/>
          <w:iCs w:val="1"/>
          <w:color w:val="auto"/>
        </w:rPr>
        <w:t>Fair Value Measurement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Framework (Topic 820). </w:t>
      </w:r>
      <w:r>
        <w:rPr>
          <w:rFonts w:ascii="Arial" w:cs="Arial" w:eastAsia="Arial" w:hAnsi="Arial"/>
          <w:sz w:val="17"/>
          <w:szCs w:val="17"/>
          <w:color w:val="auto"/>
        </w:rPr>
        <w:t>The updated guidance changes the disclosure requirements on fair value measurements. We adopted this standard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of fiscal 2021. This standard did not have a material impact on our consolidated financial statements.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2016,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The amendments in this update replace the incurred loss impairment methodology in current U.S. GAAP with a methodology that reflects expected credit losses. This update is intended to provide financial statement users with more decision-useful information about expected credit losses. We adopted this standard in the first quarter of fiscal 2021, following the modified-retrospective approach. This standard did not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October 2021, FASB issued ASU 2021-08, </w:t>
      </w:r>
      <w:r>
        <w:rPr>
          <w:rFonts w:ascii="Arial" w:cs="Arial" w:eastAsia="Arial" w:hAnsi="Arial"/>
          <w:sz w:val="16"/>
          <w:szCs w:val="16"/>
          <w:i w:val="1"/>
          <w:iCs w:val="1"/>
          <w:color w:val="auto"/>
        </w:rPr>
        <w:t>Business Combinations (Topic 805): 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This update requires entities to apply Topic 606 to recognize and measure contract assets and contract liabilities in a business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ASU 2021-08 is effective for our fiscal year beginning after September 30, 2021. We are currently evaluating the impact that adopting this new accounting standard would have on our condensed consolidated financial statements, but do not believe it will have a material effect.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Haxiot, Inc.</w:t>
      </w:r>
    </w:p>
    <w:p>
      <w:pPr>
        <w:spacing w:after="0" w:line="18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March 26, 2021, we acquired Haxiot, Inc. ("Haxiot"), a Dallas-based provider of low power wide area ("LPWA") wireless technology. The results of operations are now included in our third quarter of fiscal 2021 results within our IoT Products &amp; Services segment. We believe this is a complementary acquisition for us as it significantly enhances our IoT Products &amp; Services segment by enhancing Digi's embedded systems portfolio and immediately extends the company's market reach with a complete LoRaWAN</w:t>
      </w:r>
      <w:r>
        <w:rPr>
          <w:rFonts w:ascii="Arial" w:cs="Arial" w:eastAsia="Arial" w:hAnsi="Arial"/>
          <w:sz w:val="23"/>
          <w:szCs w:val="23"/>
          <w:color w:val="auto"/>
          <w:vertAlign w:val="superscript"/>
        </w:rPr>
        <w:t>®</w:t>
      </w:r>
      <w:r>
        <w:rPr>
          <w:rFonts w:ascii="Arial" w:cs="Arial" w:eastAsia="Arial" w:hAnsi="Arial"/>
          <w:sz w:val="18"/>
          <w:szCs w:val="18"/>
          <w:color w:val="auto"/>
        </w:rPr>
        <w:t>-based solutions offering.</w:t>
      </w:r>
    </w:p>
    <w:p>
      <w:pPr>
        <w:spacing w:after="0" w:line="6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terms of the acquisition included an upfront cash payment as well as contingent consideration comprised of future earn-out payments. We funded the closing of the acquisition with $7.1 million of cash on hand. The future earn-out payments are based on Haxiot revenue performance and contractually are not to exceed $3.0 million and $5.0 million for the annual periods ending December 31, 2021 and December 31, 2022. The fair value amount of these earn-outs for the annual periods ending December 31, 2021 and December 31, 2022 are $— million and $5.9 million, respectively. In the third quarter of fiscal 2021, the preliminary purchase price allocation was updated, including related determination of fair value and income tax implications. As a result, we adjusted goodwill to $8.6 million and adjusted contingent consideration to $5.9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For tax purposes, this acquisition is treated as a stock acquisition. The goodwill therefore is not deductible.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2. ACQUISITIONS (CONTINUED)</w:t>
      </w:r>
    </w:p>
    <w:p>
      <w:pPr>
        <w:spacing w:after="0" w:line="19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Costs directly related to the acquisition of $0.3 million in fiscal 2021 have been charged to operations and are included in general and administrative expense in our consolidated statements of operations. These acquisition costs include legal, accounting, valuation and investment banking fees.</w:t>
      </w:r>
    </w:p>
    <w:p>
      <w:pPr>
        <w:spacing w:after="0" w:line="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preliminary fair values of Haxiot assets acquired, net of $50 thousand of cash acquired, and liabilities assumed as of the acquisition date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net tangible assets acquired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29"/>
        </w:trPr>
        <w:tc>
          <w:tcPr>
            <w:tcW w:w="9320" w:type="dxa"/>
            <w:vAlign w:val="bottom"/>
          </w:tcPr>
          <w:p>
            <w:pPr>
              <w:ind w:left="140"/>
              <w:spacing w:after="0"/>
              <w:rPr>
                <w:sz w:val="20"/>
                <w:szCs w:val="20"/>
                <w:color w:val="auto"/>
              </w:rPr>
            </w:pPr>
            <w:r>
              <w:rPr>
                <w:rFonts w:ascii="Arial" w:cs="Arial" w:eastAsia="Arial" w:hAnsi="Arial"/>
                <w:sz w:val="18"/>
                <w:szCs w:val="18"/>
                <w:color w:val="auto"/>
              </w:rPr>
              <w:t>Purchased and core technology</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320" w:type="dxa"/>
            <w:vAlign w:val="bottom"/>
          </w:tcPr>
          <w:p>
            <w:pPr>
              <w:ind w:left="140"/>
              <w:spacing w:after="0"/>
              <w:rPr>
                <w:sz w:val="20"/>
                <w:szCs w:val="20"/>
                <w:color w:val="auto"/>
              </w:rPr>
            </w:pPr>
            <w:r>
              <w:rPr>
                <w:rFonts w:ascii="Arial" w:cs="Arial" w:eastAsia="Arial" w:hAnsi="Arial"/>
                <w:sz w:val="18"/>
                <w:szCs w:val="18"/>
                <w:color w:val="auto"/>
              </w:rPr>
              <w:t>Deferred tax liability on identifiable intangible assets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8,605</w:t>
            </w:r>
          </w:p>
        </w:tc>
      </w:tr>
      <w:tr>
        <w:trPr>
          <w:trHeight w:val="223"/>
        </w:trPr>
        <w:tc>
          <w:tcPr>
            <w:tcW w:w="9320" w:type="dxa"/>
            <w:vAlign w:val="bottom"/>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w:t>
            </w:r>
          </w:p>
        </w:tc>
      </w:tr>
      <w:tr>
        <w:trPr>
          <w:trHeight w:val="20"/>
        </w:trPr>
        <w:tc>
          <w:tcPr>
            <w:tcW w:w="9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Ctek, Inc.</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July 6, 2021, we acquired Ctek, Inc. ("Ctek"), a San Pedro, California-based provider that specializes in solutions for remote monitoring and industrial controls. The results of operations of Ctek are included in our fourth quarter fiscal 2021 results within our IoT Products &amp; Services segment. Through the acquisition of Ctek, Digi is uniquely positioned to provide customers with both battery and hardwired options for the control and monitoring of critical infrastructure, from complex off-shore oil rig locations to localized deployments such as municipal park lighting. In addition, Ctek’s offering and existing client portfolio is set to further Digi’s reach in a rapidly expanding market.</w:t>
      </w:r>
    </w:p>
    <w:p>
      <w:pPr>
        <w:spacing w:after="0" w:line="215"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The terms of the acquisition included an upfront cash payment as well as contingent consideration comprised of future earn-out payments. We funded the closing of the acquisition with $12.0 million of cash on hand. The future earn-out payments are based on revenue performance outlined in the terms of the purchase agreement for the annual periods ending December 31, 2021, December 31, 2022 and December 31, 2023. The cumulative amount of these earn-outs for the annual periods will not exceed $0.5 million, $1.0 million and $1.5 million, respectively. Due to the timing of the acquisition, the purchase price allocation, including related determinations of fair value and income tax implications, are in process.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tax purposes, this acquisition is treated as a stock acquisition. The goodwill therefore is not deductible.</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Costs directly related to the acquisition of $0.3 million incurred in fiscal 2021 have been charged to operations and are included in general and administrative expense in our consolidated statements of operations. These acquisition costs include legal, accounting, valuation and investment banking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2. ACQUISITIONS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values of Ctek assets acquired and liabilities assumed as of the acquisition date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adjustment</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9320" w:type="dxa"/>
            <w:vAlign w:val="bottom"/>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9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Fair value of net tangible assets acquired</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93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29"/>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and core technology</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93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Backlog</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Opengear, Inc.</w:t>
      </w:r>
    </w:p>
    <w:p>
      <w:pPr>
        <w:spacing w:after="0" w:line="19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December 13, 2019, we completed our acquisition of Opengear, Inc. ("Opengear"), a New Jersey-based provider of secure IT infrastructure products and software. Opengear results are included in our consolidated financial statements within our IoT Products &amp; Services segment.</w:t>
      </w:r>
    </w:p>
    <w:p>
      <w:pPr>
        <w:spacing w:after="0" w:line="106" w:lineRule="exact"/>
        <w:rPr>
          <w:sz w:val="20"/>
          <w:szCs w:val="20"/>
          <w:color w:val="auto"/>
        </w:rPr>
      </w:pPr>
    </w:p>
    <w:p>
      <w:pPr>
        <w:ind w:right="1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terms of the acquisition included an upfront cash payment as well as contingent consideration comprised of future earn-out payments. We funded the closing of the acquisition with cash of $148.1 million comprised of cash on hand and proceeds from our credit facility (see </w:t>
      </w:r>
      <w:hyperlink w:anchor="page61">
        <w:r>
          <w:rPr>
            <w:rFonts w:ascii="Arial" w:cs="Arial" w:eastAsia="Arial" w:hAnsi="Arial"/>
            <w:sz w:val="17"/>
            <w:szCs w:val="17"/>
            <w:u w:val="single" w:color="auto"/>
            <w:color w:val="0000FF"/>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consolidated financial statements). The earn-out payments were based on revenue performance from Opengear for the twelve-month periods ended December 31, 2019 and ending December 31, 2020. The cumulative amount of these earn-outs for the periods ended December 31, 2019 and December 31, 2020, could have been up to $5.0 million and $10.0 million, respectively. We paid the first installment of $0.9 million for the period ended December 31, 2019 during the third quarter of fiscal 2020. The final payment of $10.0 million for the period ended December 31, 2020 was paid during the second quarter of fiscal 2021 (see </w:t>
      </w:r>
      <w:hyperlink w:anchor="page60">
        <w:r>
          <w:rPr>
            <w:rFonts w:ascii="Arial" w:cs="Arial" w:eastAsia="Arial" w:hAnsi="Arial"/>
            <w:sz w:val="17"/>
            <w:szCs w:val="17"/>
            <w:u w:val="single" w:color="auto"/>
            <w:color w:val="0000FF"/>
          </w:rPr>
          <w:t>Note 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fiscal 2021, we recorded an out-of-period adjustment in connection with the purchase price accounting of Opengear. This balance sheet adjustment resulted in a decrease in fair value of net tangible assets acquired of $1.1 million, a decrease of $0.3 million to non-current deferred tax liability and an increase to goodwill of $0.8 million. Management assessed the impact of this adjustment and believes, after considering both quantitative and qualitative factors, that it is not material to our current or previously issued consolidated financial statements.</w:t>
      </w:r>
    </w:p>
    <w:p>
      <w:pPr>
        <w:spacing w:after="0" w:line="14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tax purposes, this acquisition is treated as a stock acquisition. The goodwill therefore is not deductible. We believe this is a complementary acquisition for us as it significantly enhances our IoT Products &amp; Services segment by providing secure, resilient access and automation to critical IT infrastructure.</w:t>
      </w:r>
    </w:p>
    <w:p>
      <w:pPr>
        <w:spacing w:after="0" w:line="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directly related to the acquisition of $0.3 million incurred in fiscal 2019, $2.7 million incurred in fiscal 2020 and $0.3 million incurred in fiscal 2021 have been charged directly to operations and are included in general and administrative expenses in our consolidated statements of operations. These acquisition costs include legal, accounting, integration, valuation and investment banking fees.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2. ACQUISITIONS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final fair values of Opengear assets acquired and liabilities assumed as of the acquisition date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148,058</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153,158</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net tangible assets acquired</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r>
      <w:tr>
        <w:trPr>
          <w:trHeight w:val="229"/>
        </w:trPr>
        <w:tc>
          <w:tcPr>
            <w:tcW w:w="9320" w:type="dxa"/>
            <w:vAlign w:val="bottom"/>
          </w:tcPr>
          <w:p>
            <w:pPr>
              <w:ind w:left="140"/>
              <w:spacing w:after="0"/>
              <w:rPr>
                <w:sz w:val="20"/>
                <w:szCs w:val="20"/>
                <w:color w:val="auto"/>
              </w:rPr>
            </w:pPr>
            <w:r>
              <w:rPr>
                <w:rFonts w:ascii="Arial" w:cs="Arial" w:eastAsia="Arial" w:hAnsi="Arial"/>
                <w:sz w:val="18"/>
                <w:szCs w:val="18"/>
                <w:color w:val="auto"/>
              </w:rPr>
              <w:t>Purchased and core technology</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18,100</w:t>
            </w:r>
          </w:p>
        </w:tc>
      </w:tr>
      <w:tr>
        <w:trPr>
          <w:trHeight w:val="230"/>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9320" w:type="dxa"/>
            <w:vAlign w:val="bottom"/>
          </w:tcPr>
          <w:p>
            <w:pPr>
              <w:ind w:left="140"/>
              <w:spacing w:after="0"/>
              <w:rPr>
                <w:sz w:val="20"/>
                <w:szCs w:val="20"/>
                <w:color w:val="auto"/>
              </w:rPr>
            </w:pPr>
            <w:r>
              <w:rPr>
                <w:rFonts w:ascii="Arial" w:cs="Arial" w:eastAsia="Arial" w:hAnsi="Arial"/>
                <w:sz w:val="18"/>
                <w:szCs w:val="18"/>
                <w:color w:val="auto"/>
              </w:rPr>
              <w:t>Deferred tax liability on identifiable intangible assets</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(27,126)</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57,088</w:t>
            </w:r>
          </w:p>
        </w:tc>
      </w:tr>
      <w:tr>
        <w:trPr>
          <w:trHeight w:val="223"/>
        </w:trPr>
        <w:tc>
          <w:tcPr>
            <w:tcW w:w="9320" w:type="dxa"/>
            <w:vAlign w:val="bottom"/>
          </w:tcPr>
          <w:p>
            <w:pPr>
              <w:ind w:left="1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153,158</w:t>
            </w:r>
          </w:p>
        </w:tc>
      </w:tr>
      <w:tr>
        <w:trPr>
          <w:trHeight w:val="21"/>
        </w:trPr>
        <w:tc>
          <w:tcPr>
            <w:tcW w:w="9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Balance Sheet as of September 30, 2020 reflects the final allocation of the purchase price to the assets acquired and liabilities assumed based on their estimated fair values at the date of acquisition. Included in the fair value of net tangible assets acquired are $1.4 million of right-of-use assets included in other non-current assets and $1.7 million of lease liability included in other current and non-current liabilities associated with Opengear's operating leases.</w:t>
      </w:r>
    </w:p>
    <w:p>
      <w:pPr>
        <w:spacing w:after="0" w:line="52"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The weighted average useful life for all the identifiable intangibles listed above is estimated to be 13.4 years. For purposes of determining fair value, the existing customer relationships identified above are assumed to have a useful life of 14.5 years, purchased and core technology is assumed to have useful life of 9.0 years and trademarks are assumed to have a useful life of 12.0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This reflects the pattern in which the assets are expected to be consumed.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IDENTIFIABLE INTANGIBLE ASSETS,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Amortizable identifiable intangible assets, net as of September 30, 2021 and 2020 were comprised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8"/>
                <w:szCs w:val="18"/>
                <w:color w:val="auto"/>
                <w:w w:val="88"/>
              </w:rPr>
              <w:t>September 30, 2021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8"/>
                <w:szCs w:val="18"/>
                <w:color w:val="auto"/>
                <w:w w:val="88"/>
              </w:rPr>
              <w:t>September 30, 2020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3"/>
              </w:rPr>
              <w:t>Accum.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3"/>
              </w:rPr>
              <w:t>Accum.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ind w:right="3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amount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amort.</w:t>
            </w: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amount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amort.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and core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trademarks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91,268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Order backlog</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224,643</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225,059</w:t>
            </w:r>
          </w:p>
        </w:tc>
        <w:tc>
          <w:tcPr>
            <w:tcW w:w="3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Amortization expense is included in our consolidated statements of operations in cost of sales and general and administrative expense. Amortization expense in cost of sales includes amortization for purchased and core technology and certain patents and trademarks.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160" w:type="dxa"/>
            <w:vAlign w:val="bottom"/>
          </w:tcPr>
          <w:p>
            <w:pPr>
              <w:ind w:left="2440"/>
              <w:spacing w:after="0"/>
              <w:rPr>
                <w:sz w:val="20"/>
                <w:szCs w:val="20"/>
                <w:color w:val="auto"/>
              </w:rPr>
            </w:pPr>
            <w:r>
              <w:rPr>
                <w:rFonts w:ascii="Arial" w:cs="Arial" w:eastAsia="Arial" w:hAnsi="Arial"/>
                <w:sz w:val="18"/>
                <w:szCs w:val="18"/>
                <w:b w:val="1"/>
                <w:bCs w:val="1"/>
                <w:color w:val="auto"/>
              </w:rPr>
              <w:t>NOTES TO CONSOLIDATED FINANCIAL STATEMENTS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8980" w:type="dxa"/>
            <w:vAlign w:val="bottom"/>
            <w:gridSpan w:val="4"/>
          </w:tcPr>
          <w:p>
            <w:pPr>
              <w:spacing w:after="0"/>
              <w:rPr>
                <w:sz w:val="20"/>
                <w:szCs w:val="20"/>
                <w:color w:val="auto"/>
              </w:rPr>
            </w:pPr>
            <w:r>
              <w:rPr>
                <w:rFonts w:ascii="Arial" w:cs="Arial" w:eastAsia="Arial" w:hAnsi="Arial"/>
                <w:sz w:val="18"/>
                <w:szCs w:val="18"/>
                <w:color w:val="auto"/>
              </w:rPr>
              <w:t>3. GOODWILL AND OTHER IDENTIFIABLE INTANGIBLE ASSETS, NET (CONTINUED)</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980" w:type="dxa"/>
            <w:vAlign w:val="bottom"/>
            <w:gridSpan w:val="4"/>
          </w:tcPr>
          <w:p>
            <w:pPr>
              <w:spacing w:after="0"/>
              <w:rPr>
                <w:sz w:val="20"/>
                <w:szCs w:val="20"/>
                <w:color w:val="auto"/>
              </w:rPr>
            </w:pPr>
            <w:r>
              <w:rPr>
                <w:rFonts w:ascii="Arial" w:cs="Arial" w:eastAsia="Arial" w:hAnsi="Arial"/>
                <w:sz w:val="18"/>
                <w:szCs w:val="18"/>
                <w:color w:val="auto"/>
              </w:rPr>
              <w:t>Amortization expense for fiscal years 2021, 2020 and 2019 was as follows (in thousands):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960" w:type="dxa"/>
            <w:vAlign w:val="bottom"/>
            <w:gridSpan w:val="3"/>
          </w:tcPr>
          <w:p>
            <w:pPr>
              <w:ind w:left="20"/>
              <w:spacing w:after="0"/>
              <w:rPr>
                <w:sz w:val="20"/>
                <w:szCs w:val="20"/>
                <w:color w:val="auto"/>
              </w:rPr>
            </w:pPr>
            <w:r>
              <w:rPr>
                <w:rFonts w:ascii="Arial" w:cs="Arial" w:eastAsia="Arial" w:hAnsi="Arial"/>
                <w:sz w:val="18"/>
                <w:szCs w:val="18"/>
                <w:color w:val="auto"/>
              </w:rPr>
              <w:t>Fiscal year</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16,534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816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648"/>
        </w:trPr>
        <w:tc>
          <w:tcPr>
            <w:tcW w:w="8980" w:type="dxa"/>
            <w:vAlign w:val="bottom"/>
            <w:gridSpan w:val="4"/>
          </w:tcPr>
          <w:p>
            <w:pPr>
              <w:spacing w:after="0"/>
              <w:rPr>
                <w:sz w:val="20"/>
                <w:szCs w:val="20"/>
                <w:color w:val="auto"/>
              </w:rPr>
            </w:pPr>
            <w:r>
              <w:rPr>
                <w:rFonts w:ascii="Arial" w:cs="Arial" w:eastAsia="Arial" w:hAnsi="Arial"/>
                <w:sz w:val="18"/>
                <w:szCs w:val="18"/>
                <w:color w:val="auto"/>
              </w:rPr>
              <w:t>Estimated amortization expense for the next five fiscal years is as follows (in thousands):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Fiscal year</w:t>
            </w:r>
          </w:p>
        </w:tc>
        <w:tc>
          <w:tcPr>
            <w:tcW w:w="1280" w:type="dxa"/>
            <w:vAlign w:val="bottom"/>
          </w:tcPr>
          <w:p>
            <w:pPr>
              <w:spacing w:after="0"/>
              <w:rPr>
                <w:sz w:val="24"/>
                <w:szCs w:val="24"/>
                <w:color w:val="auto"/>
              </w:rPr>
            </w:pPr>
          </w:p>
        </w:tc>
        <w:tc>
          <w:tcPr>
            <w:tcW w:w="960" w:type="dxa"/>
            <w:vAlign w:val="bottom"/>
            <w:gridSpan w:val="4"/>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29"/>
        </w:trPr>
        <w:tc>
          <w:tcPr>
            <w:tcW w:w="820" w:type="dxa"/>
            <w:vAlign w:val="bottom"/>
            <w:gridSpan w:val="3"/>
          </w:tcPr>
          <w:p>
            <w:pPr>
              <w:ind w:left="20"/>
              <w:spacing w:after="0"/>
              <w:rPr>
                <w:sz w:val="20"/>
                <w:szCs w:val="20"/>
                <w:color w:val="auto"/>
              </w:rPr>
            </w:pPr>
            <w:r>
              <w:rPr>
                <w:rFonts w:ascii="Arial" w:cs="Arial" w:eastAsia="Arial" w:hAnsi="Arial"/>
                <w:sz w:val="18"/>
                <w:szCs w:val="18"/>
                <w:color w:val="auto"/>
              </w:rPr>
              <w:t>2023</w:t>
            </w:r>
          </w:p>
        </w:tc>
        <w:tc>
          <w:tcPr>
            <w:tcW w:w="81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13,579</w:t>
            </w:r>
          </w:p>
        </w:tc>
        <w:tc>
          <w:tcPr>
            <w:tcW w:w="0" w:type="dxa"/>
            <w:vAlign w:val="bottom"/>
          </w:tcPr>
          <w:p>
            <w:pPr>
              <w:spacing w:after="0"/>
              <w:rPr>
                <w:sz w:val="1"/>
                <w:szCs w:val="1"/>
                <w:color w:val="auto"/>
              </w:rPr>
            </w:pPr>
          </w:p>
        </w:tc>
      </w:tr>
      <w:tr>
        <w:trPr>
          <w:trHeight w:val="229"/>
        </w:trPr>
        <w:tc>
          <w:tcPr>
            <w:tcW w:w="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230"/>
        </w:trPr>
        <w:tc>
          <w:tcPr>
            <w:tcW w:w="820" w:type="dxa"/>
            <w:vAlign w:val="bottom"/>
            <w:gridSpan w:val="3"/>
          </w:tcPr>
          <w:p>
            <w:pPr>
              <w:ind w:left="20"/>
              <w:spacing w:after="0"/>
              <w:rPr>
                <w:sz w:val="20"/>
                <w:szCs w:val="20"/>
                <w:color w:val="auto"/>
              </w:rPr>
            </w:pPr>
            <w:r>
              <w:rPr>
                <w:rFonts w:ascii="Arial" w:cs="Arial" w:eastAsia="Arial" w:hAnsi="Arial"/>
                <w:sz w:val="18"/>
                <w:szCs w:val="18"/>
                <w:color w:val="auto"/>
              </w:rPr>
              <w:t>2025</w:t>
            </w:r>
          </w:p>
        </w:tc>
        <w:tc>
          <w:tcPr>
            <w:tcW w:w="81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29"/>
        </w:trPr>
        <w:tc>
          <w:tcPr>
            <w:tcW w:w="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segments are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IoT</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IoT</w:t>
            </w:r>
          </w:p>
        </w:tc>
        <w:tc>
          <w:tcPr>
            <w:tcW w:w="360" w:type="dxa"/>
            <w:vAlign w:val="bottom"/>
          </w:tcPr>
          <w:p>
            <w:pPr>
              <w:spacing w:after="0"/>
              <w:rPr>
                <w:sz w:val="17"/>
                <w:szCs w:val="17"/>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Products &amp; Services</w:t>
            </w:r>
          </w:p>
        </w:tc>
        <w:tc>
          <w:tcPr>
            <w:tcW w:w="30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Solutions</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September 30, 2019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153,422</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56,242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56,242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Balance on September 30, 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160,365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49,770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210,135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Balance on September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175,180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225,522</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goodwill impairment has been recorded in any period presented.</w:t>
      </w:r>
    </w:p>
    <w:p>
      <w:pPr>
        <w:spacing w:after="0" w:line="185" w:lineRule="exact"/>
        <w:rPr>
          <w:sz w:val="20"/>
          <w:szCs w:val="20"/>
          <w:color w:val="auto"/>
        </w:rPr>
      </w:pPr>
    </w:p>
    <w:p>
      <w:pPr>
        <w:ind w:right="100"/>
        <w:spacing w:after="0" w:line="293" w:lineRule="auto"/>
        <w:rPr>
          <w:rFonts w:ascii="Arial" w:cs="Arial" w:eastAsia="Arial" w:hAnsi="Arial"/>
          <w:sz w:val="16"/>
          <w:szCs w:val="16"/>
          <w:color w:val="0000FF"/>
        </w:rPr>
      </w:pPr>
      <w:r>
        <w:rPr>
          <w:rFonts w:ascii="Arial" w:cs="Arial" w:eastAsia="Arial" w:hAnsi="Arial"/>
          <w:sz w:val="16"/>
          <w:szCs w:val="16"/>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2 reportable segments, our IoT Products &amp; Services segment and our IoT Solutions segment (see </w:t>
      </w:r>
      <w:hyperlink w:anchor="page57">
        <w:r>
          <w:rPr>
            <w:rFonts w:ascii="Arial" w:cs="Arial" w:eastAsia="Arial" w:hAnsi="Arial"/>
            <w:sz w:val="16"/>
            <w:szCs w:val="16"/>
            <w:u w:val="single" w:color="auto"/>
            <w:color w:val="0000FF"/>
          </w:rPr>
          <w:t>Note 4</w:t>
        </w:r>
      </w:hyperlink>
      <w:r>
        <w:rPr>
          <w:rFonts w:ascii="Arial" w:cs="Arial" w:eastAsia="Arial" w:hAnsi="Arial"/>
          <w:sz w:val="16"/>
          <w:szCs w:val="16"/>
          <w:color w:val="auto"/>
        </w:rPr>
        <w:t xml:space="preserve">). Effective with the reorganization announcement on October 7, 2020 (see </w:t>
      </w:r>
      <w:hyperlink w:anchor="page64">
        <w:r>
          <w:rPr>
            <w:rFonts w:ascii="Arial" w:cs="Arial" w:eastAsia="Arial" w:hAnsi="Arial"/>
            <w:sz w:val="16"/>
            <w:szCs w:val="16"/>
            <w:u w:val="single" w:color="auto"/>
            <w:color w:val="0000FF"/>
          </w:rPr>
          <w:t>Note 10</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our IoT Products &amp; Services business is now structured to include four reporting units under the IoT Products &amp; Services segment, each with a</w:t>
      </w:r>
      <w:r>
        <w:rPr>
          <w:rFonts w:ascii="Arial" w:cs="Arial" w:eastAsia="Arial" w:hAnsi="Arial"/>
          <w:sz w:val="16"/>
          <w:szCs w:val="16"/>
          <w:color w:val="0000FF"/>
        </w:rPr>
        <w:t xml:space="preserve"> </w:t>
      </w:r>
      <w:r>
        <w:rPr>
          <w:rFonts w:ascii="Arial" w:cs="Arial" w:eastAsia="Arial" w:hAnsi="Arial"/>
          <w:sz w:val="16"/>
          <w:szCs w:val="16"/>
          <w:color w:val="000000"/>
        </w:rPr>
        <w:t>reporting manager: Cellular Routers, Console Servers, OEM Solutions and Infrastructure Management. Due to the reorganization, we performed our fiscal third quarter 2021 annual impairment test for those four reporting units along with our IoT Solutions segment.</w:t>
      </w:r>
    </w:p>
    <w:p>
      <w:pPr>
        <w:spacing w:after="0" w:line="19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our quantitative goodwill impairment tests, we determine the estimated fair value of each reporting unit and compare it to the carrying value of the reporting unit, including goodwill. If the carrying amount of a reporting unit is higher than its estimated fair value, then an impairment loss must be recognized for the excess. Fair values for the five reporting units were each estimated on a standalone basis using a weighted combination of the income approach and market approach.</w:t>
      </w:r>
    </w:p>
    <w:p>
      <w:pPr>
        <w:spacing w:after="0" w:line="16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income approach indicates the fair value of a business based on the value of the cash flows the business or asset can be expected to generate in the future. A commonly used variation of the income approach used to value a business is the discounted cash flow (“DCF”) method. The DCF method is a valuation technique in which the value of a business is estimated on the earnings capacity, or available cash flow, of that business. Earnings capacity represents the earnings available for distribution to stockholders after consideration of the reinvestment required for future growth. Significant judgment is required to estimate the amount and timing of future cash flows for each reporting unit and the relative risk of achieving those cash flows.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IDENTIFIABLE INTANGIBLE ASSETS, NET (CONTINUED)</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market approach indicates the fair value of a business or asset based on a comparison of the business or asset to comparable publicly traded companies or assets and transactions in its industry as well as our prior acquisitions. This approach can be estimated through the guideline company method. This method indicates fair value of a business by comparing it to publicly traded companies in similar lines of business. After identifying and selecting the guideline companies, we make judgments about the comparability of the companies based on size, growth rates, profitability, risk, and return on investment in order to estimate market multiples. These multiples are then applied to the reporting units to estimate a fair value.</w:t>
      </w:r>
    </w:p>
    <w:p>
      <w:pPr>
        <w:spacing w:after="0" w:line="1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We will continue to monitor potential COVID-19 industry and demand impacts as this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our Fiscal 2021 Annual Impairment Test</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2021, we had a total of $32.7 million of goodwill for the Enterprise Routers reporting unit, $60.2 million of goodwill for the Console Servers reporting unit, $63.4 million of goodwill for the OEM Solutions reporting unit, $15.4 million of goodwill for the Infrastructure Management reporting unit and $49.5 million of goodwill for the IoT Solutions reporting unit. At June 30, 2021, fair value exceeded the carrying value by more than 20% for all five reporting units. Implied fair values for both reporting units were each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$686.3 million as of June 30, 2021. This implied a range of control (deficit)/ premiums of (4.5)% to 5.4%.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our October 7, 2020 Interim Impairment Test</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October 7, 2020, we had a total of $32.7 million of goodwill for the Enterprise Routers reporting unit, $59.2 million of goodwill for the Console Servers reporting unit, $53.3 million of goodwill for the OEM Solutions reporting unit, $15.4 million of goodwill for the Infrastructure Mgmt. reporting unit and $49.5 million of goodwill for the IoT Solutions reporting unit. At October 7, 2020, fair value exceeded the carrying value for all five reporting units. Implied fair values for both reporting units were each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$472.7 million as of October 7, 2020. This implied a range of control premiums of 5.0% to 10.0%.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4. SEGMENT INFORMATION AND MAJOR CUSTOMERS</w:t>
      </w:r>
    </w:p>
    <w:p>
      <w:pPr>
        <w:spacing w:after="0" w:line="198" w:lineRule="exact"/>
        <w:rPr>
          <w:sz w:val="20"/>
          <w:szCs w:val="20"/>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have two reportable operating segments: (i) IoT Products &amp; Services and (ii) IoT Solutions. This determination was made by considering both qualitative and quantitative information. The qualitative information included, but was not limited to, the following: the nature of the products and services and customers differ between the two segments, discrete financial information is available through operating income for both segments and the Chief Operating Decision Maker is reviewing both segments’ financial information separately to make decisions about the allocation of resources. Effective with the reorganization announcement on October 7, 2020 (see </w:t>
      </w:r>
      <w:hyperlink w:anchor="page64">
        <w:r>
          <w:rPr>
            <w:rFonts w:ascii="Arial" w:cs="Arial" w:eastAsia="Arial" w:hAnsi="Arial"/>
            <w:sz w:val="18"/>
            <w:szCs w:val="18"/>
            <w:u w:val="single" w:color="auto"/>
            <w:color w:val="0000FF"/>
          </w:rPr>
          <w:t>Note 10</w:t>
        </w:r>
      </w:hyperlink>
      <w:r>
        <w:rPr>
          <w:rFonts w:ascii="Arial" w:cs="Arial" w:eastAsia="Arial" w:hAnsi="Arial"/>
          <w:sz w:val="18"/>
          <w:szCs w:val="18"/>
          <w:color w:val="auto"/>
        </w:rPr>
        <w:t>), our IoT Products &amp; Services business is now structured to include four operating segments, each with a segment manager.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IoT Products &amp;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IoT Products &amp; Services segment is composed of the following four operating segments:</w:t>
      </w:r>
    </w:p>
    <w:p>
      <w:pPr>
        <w:spacing w:after="0" w:line="117" w:lineRule="exact"/>
        <w:rPr>
          <w:sz w:val="20"/>
          <w:szCs w:val="20"/>
          <w:color w:val="auto"/>
        </w:rPr>
      </w:pPr>
    </w:p>
    <w:p>
      <w:pPr>
        <w:ind w:left="660" w:right="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Cellular Routers - box devices (fully enclosed) that provide connectivity typically in a place where the device can be plugged in exclusively using cellular communications.</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Console Servers - similar to cellular routers except they are exclusively for edge computing installations and data center applications exclusively using cellular communications.</w:t>
      </w:r>
    </w:p>
    <w:p>
      <w:pPr>
        <w:spacing w:after="0" w:line="129"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OEM Solutions - Original Equipment Manufacturers ("OEM") will be a chip, rather than a boxed device. This can come in the form of a stand-alone chip, or from a systems-on-module ("SOMs"). While cellular connectivity is used, other communication protocols can be used such as Zigbee, Bluetooth or Radio-Frequency ("RF") based on application.</w:t>
      </w:r>
    </w:p>
    <w:p>
      <w:pPr>
        <w:spacing w:after="0" w:line="143"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the four operating segments have similar qualitative and quantitative factors, they are aggregated under the IoT Products &amp; Services reportable segment. The qualitative factors include similar nature of products and services, production process, type or class of customers and methods used to distribute the products. The quantitative factors include similar operating income and gross profit. Our CODM reviews and makes business decisions which includes a primary review of operating income but also includes gross profit. Starting in the quarter ended December 31, 2020, the shared general and administrative costs are now allocated to each operating segment. Thus, our measure of segment profit or loss used by our CODM changed. As a result, our disclosed measure of segment operating income (loss) has been updated for all periods presented. The change to the business segment operating income aligns with the update to how the CODM assesses performance and allocates resources for our business segments.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4. SEGMENT INFORMATION AND MAJOR CUSTOMERS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IoT Solutions</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IoT Solutions segment offers wireless temperature and other condition-based monitoring services as well as employee task management services. These solutions are focused on these vertical markets: food service, healthcare (primarily pharmacies and hospitals) and supply chain. The solutions are marketed as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We initially formed, expanded and enhanced our IoT Solutions segment through four acquisitions, the last of which was completed in October 2017.</w:t>
      </w:r>
    </w:p>
    <w:p>
      <w:pPr>
        <w:spacing w:after="0" w:line="1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measure our segment results primarily by reference to revenue and gross profit. IoT Solutions revenue includes product, service and subscription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Summary operating results for each of our segments were as follows (in thousands):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190"/>
              <w:spacing w:after="0"/>
              <w:rPr>
                <w:sz w:val="20"/>
                <w:szCs w:val="20"/>
                <w:color w:val="auto"/>
              </w:rPr>
            </w:pPr>
            <w:r>
              <w:rPr>
                <w:rFonts w:ascii="Arial" w:cs="Arial" w:eastAsia="Arial" w:hAnsi="Arial"/>
                <w:sz w:val="18"/>
                <w:szCs w:val="18"/>
                <w:color w:val="auto"/>
              </w:rPr>
              <w:t>Year ended September 30,</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IoT Products &amp; Services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264,173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249,530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Solutions</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29,741</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308,632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279,271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IoT Products &amp; Services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144,472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129,349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Solutions</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Total gross profit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166,657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143,972</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IoT Products &amp; Services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27,216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Solutions</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2"/>
              </w:rPr>
              <w:t>(15,899)</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IoT Products &amp; Services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Solutions</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Total depreciation and amortization</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expended for property, plant and equipment was as follows (in thousands):</w:t>
            </w: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9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9"/>
              </w:rPr>
              <w:t>Year ended September 30,</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IoT Products &amp; Services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IoT Solutions*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expended for property, plant and equipment</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4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00" w:firstLine="8"/>
        <w:spacing w:after="0" w:line="273" w:lineRule="auto"/>
        <w:tabs>
          <w:tab w:leader="none" w:pos="1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Excluded from this amount is $1.8 million, $1.4 million and $1.1 million of transfers of inventory to property plant and equipment for subscriber assets for the year ended September 30, 2021, 2020 and 2019, respectively.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Total assets for each of our segments were as follows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8"/>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As of September 30,</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IoT Products &amp;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387,578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IoT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86,975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54,129</w:t>
            </w: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528,682</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*Unallocated consists of cash and cash equivalents.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4. SEGMENT INFORMATION AND MAJOR CUSTOMERS (CONTINUED)</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05"/>
        </w:trPr>
        <w:tc>
          <w:tcPr>
            <w:tcW w:w="7840" w:type="dxa"/>
            <w:vAlign w:val="bottom"/>
          </w:tcPr>
          <w:p>
            <w:pPr>
              <w:spacing w:after="0"/>
              <w:rPr>
                <w:sz w:val="20"/>
                <w:szCs w:val="20"/>
                <w:color w:val="auto"/>
              </w:rPr>
            </w:pPr>
            <w:r>
              <w:rPr>
                <w:rFonts w:ascii="Arial" w:cs="Arial" w:eastAsia="Arial" w:hAnsi="Arial"/>
                <w:sz w:val="18"/>
                <w:szCs w:val="18"/>
                <w:color w:val="auto"/>
                <w:w w:val="99"/>
              </w:rPr>
              <w:t>Net property, equipment and improvements by geographic location were as follows (in thousands):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78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11,297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primarily Europe</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property, equipment and improvements</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U.S. export sales represented 26.2%, 25.1% and 28.5% of revenue for the fiscal years ended September 30, 2021, 2020 and 2019. No single customer exceeded 10% of revenue for any of the periods presented. At September 30, 2020, we had one customer whose accounts receivable balance represented 17.2% of total accounts receivable.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5. SELECTED BALANCE SHEET DATA</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92"/>
        </w:trPr>
        <w:tc>
          <w:tcPr>
            <w:tcW w:w="7800" w:type="dxa"/>
            <w:vAlign w:val="bottom"/>
          </w:tcPr>
          <w:p>
            <w:pPr>
              <w:spacing w:after="0"/>
              <w:rPr>
                <w:sz w:val="20"/>
                <w:szCs w:val="20"/>
                <w:color w:val="auto"/>
              </w:rPr>
            </w:pPr>
            <w:r>
              <w:rPr>
                <w:rFonts w:ascii="Arial" w:cs="Arial" w:eastAsia="Arial" w:hAnsi="Arial"/>
                <w:sz w:val="18"/>
                <w:szCs w:val="18"/>
                <w:color w:val="auto"/>
              </w:rPr>
              <w:t>The following table shows selected balance sheet data (in thousands):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78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51,828</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65,027</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allowance for credit losses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reserve for future credit returns and pricing adjustments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accounts receivable,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43,738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59,227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Raw materials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27,265</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14,009</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16,642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37,559</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inventories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43,921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51,568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improvements,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Land</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Improvements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9,367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7,844</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16,878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17,153</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Purchased software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3,770</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Subscriber assets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r>
      <w:tr>
        <w:trPr>
          <w:trHeight w:val="22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equipment and improvements, gross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41,177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40,015</w:t>
            </w: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29,045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28,508</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equipment and improvements,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11,507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6. FAIR VALUE MEASUREMENTS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There were no transfers into or out of our Level 2 financial assets during fiscal 2021.</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by level for financial assets and liabilities that are measured at fair value on a recurring basis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Contingent consideration on acquired business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3" w:lineRule="exact"/>
        <w:rPr>
          <w:sz w:val="20"/>
          <w:szCs w:val="20"/>
          <w:color w:val="auto"/>
        </w:rPr>
      </w:pPr>
    </w:p>
    <w:p>
      <w:pPr>
        <w:ind w:left="220" w:right="60"/>
        <w:spacing w:after="0" w:line="411" w:lineRule="auto"/>
        <w:rPr>
          <w:sz w:val="20"/>
          <w:szCs w:val="20"/>
          <w:color w:val="auto"/>
        </w:rPr>
      </w:pPr>
      <w:r>
        <w:rPr>
          <w:rFonts w:ascii="Arial" w:cs="Arial" w:eastAsia="Arial" w:hAnsi="Arial"/>
          <w:sz w:val="16"/>
          <w:szCs w:val="16"/>
          <w:color w:val="auto"/>
        </w:rPr>
        <w:t>Contingent consideration on acquired businesses Total liabilities measured at fair value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color w:val="auto"/>
                <w:w w:val="88"/>
              </w:rPr>
              <w:t>Fair Value Measurements at September 30, 2021 using:</w:t>
            </w:r>
          </w:p>
        </w:tc>
      </w:tr>
      <w:tr>
        <w:trPr>
          <w:trHeight w:val="169"/>
        </w:trPr>
        <w:tc>
          <w:tcPr>
            <w:tcW w:w="180" w:type="dxa"/>
            <w:vAlign w:val="bottom"/>
          </w:tcPr>
          <w:p>
            <w:pPr>
              <w:spacing w:after="0"/>
              <w:rPr>
                <w:sz w:val="14"/>
                <w:szCs w:val="14"/>
                <w:color w:val="auto"/>
              </w:rPr>
            </w:pPr>
          </w:p>
        </w:tc>
        <w:tc>
          <w:tcPr>
            <w:tcW w:w="146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1"/>
              </w:rPr>
              <w:t>Total carrying</w:t>
            </w:r>
          </w:p>
        </w:tc>
        <w:tc>
          <w:tcPr>
            <w:tcW w:w="160" w:type="dxa"/>
            <w:vAlign w:val="bottom"/>
          </w:tcPr>
          <w:p>
            <w:pPr>
              <w:spacing w:after="0"/>
              <w:rPr>
                <w:sz w:val="14"/>
                <w:szCs w:val="14"/>
                <w:color w:val="auto"/>
              </w:rPr>
            </w:pPr>
          </w:p>
        </w:tc>
        <w:tc>
          <w:tcPr>
            <w:tcW w:w="156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1"/>
              </w:rPr>
              <w:t>Quoted price in</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Significant other</w:t>
            </w:r>
          </w:p>
        </w:tc>
        <w:tc>
          <w:tcPr>
            <w:tcW w:w="280" w:type="dxa"/>
            <w:vAlign w:val="bottom"/>
          </w:tcPr>
          <w:p>
            <w:pPr>
              <w:spacing w:after="0"/>
              <w:rPr>
                <w:sz w:val="14"/>
                <w:szCs w:val="14"/>
                <w:color w:val="auto"/>
              </w:rPr>
            </w:pPr>
          </w:p>
        </w:tc>
        <w:tc>
          <w:tcPr>
            <w:tcW w:w="136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96"/>
              </w:rPr>
              <w:t>Significant</w:t>
            </w:r>
          </w:p>
        </w:tc>
      </w:tr>
      <w:tr>
        <w:trPr>
          <w:trHeight w:val="175"/>
        </w:trPr>
        <w:tc>
          <w:tcPr>
            <w:tcW w:w="18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8"/>
              </w:rPr>
              <w:t>value at</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active markets</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observable inputs</w:t>
            </w:r>
          </w:p>
        </w:tc>
        <w:tc>
          <w:tcPr>
            <w:tcW w:w="1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unobservable inputs</w:t>
            </w:r>
          </w:p>
        </w:tc>
      </w:tr>
      <w:tr>
        <w:trPr>
          <w:trHeight w:val="230"/>
        </w:trPr>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(Level 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4"/>
              </w:rPr>
              <w:t>(Level 3)</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574"/>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color w:val="auto"/>
                <w:w w:val="88"/>
              </w:rPr>
              <w:t>Fair Value Measurements at September 30, 2020 using:</w:t>
            </w:r>
          </w:p>
        </w:tc>
      </w:tr>
      <w:tr>
        <w:trPr>
          <w:trHeight w:val="169"/>
        </w:trPr>
        <w:tc>
          <w:tcPr>
            <w:tcW w:w="180" w:type="dxa"/>
            <w:vAlign w:val="bottom"/>
          </w:tcPr>
          <w:p>
            <w:pPr>
              <w:spacing w:after="0"/>
              <w:rPr>
                <w:sz w:val="14"/>
                <w:szCs w:val="14"/>
                <w:color w:val="auto"/>
              </w:rPr>
            </w:pPr>
          </w:p>
        </w:tc>
        <w:tc>
          <w:tcPr>
            <w:tcW w:w="146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1"/>
              </w:rPr>
              <w:t>Total carrying</w:t>
            </w:r>
          </w:p>
        </w:tc>
        <w:tc>
          <w:tcPr>
            <w:tcW w:w="160" w:type="dxa"/>
            <w:vAlign w:val="bottom"/>
          </w:tcPr>
          <w:p>
            <w:pPr>
              <w:spacing w:after="0"/>
              <w:rPr>
                <w:sz w:val="14"/>
                <w:szCs w:val="14"/>
                <w:color w:val="auto"/>
              </w:rPr>
            </w:pPr>
          </w:p>
        </w:tc>
        <w:tc>
          <w:tcPr>
            <w:tcW w:w="156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1"/>
              </w:rPr>
              <w:t>Quoted price in</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Significant other</w:t>
            </w:r>
          </w:p>
        </w:tc>
        <w:tc>
          <w:tcPr>
            <w:tcW w:w="280" w:type="dxa"/>
            <w:vAlign w:val="bottom"/>
          </w:tcPr>
          <w:p>
            <w:pPr>
              <w:spacing w:after="0"/>
              <w:rPr>
                <w:sz w:val="14"/>
                <w:szCs w:val="14"/>
                <w:color w:val="auto"/>
              </w:rPr>
            </w:pPr>
          </w:p>
        </w:tc>
        <w:tc>
          <w:tcPr>
            <w:tcW w:w="136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96"/>
              </w:rPr>
              <w:t>Significant</w:t>
            </w:r>
          </w:p>
        </w:tc>
      </w:tr>
      <w:tr>
        <w:trPr>
          <w:trHeight w:val="176"/>
        </w:trPr>
        <w:tc>
          <w:tcPr>
            <w:tcW w:w="18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8"/>
              </w:rPr>
              <w:t>value at</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active markets</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observable inputs</w:t>
            </w:r>
          </w:p>
        </w:tc>
        <w:tc>
          <w:tcPr>
            <w:tcW w:w="1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unobservable inputs</w:t>
            </w:r>
          </w:p>
        </w:tc>
      </w:tr>
      <w:tr>
        <w:trPr>
          <w:trHeight w:val="229"/>
        </w:trPr>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(Level 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4"/>
              </w:rPr>
              <w:t>(Level 3)</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4,228</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-1704975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-1414145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-479425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-187960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3800" w:space="720"/>
            <w:col w:w="6720"/>
          </w:cols>
          <w:pgMar w:left="320" w:top="125" w:right="339" w:bottom="1440" w:gutter="0" w:footer="0" w:header="0"/>
          <w:type w:val="continuous"/>
        </w:sectPr>
      </w:pPr>
    </w:p>
    <w:p>
      <w:pPr>
        <w:jc w:val="both"/>
        <w:ind w:right="180"/>
        <w:spacing w:after="0" w:line="259" w:lineRule="auto"/>
        <w:rPr>
          <w:sz w:val="20"/>
          <w:szCs w:val="20"/>
          <w:color w:val="auto"/>
        </w:rPr>
      </w:pPr>
      <w:r>
        <w:rPr>
          <w:rFonts w:ascii="Arial" w:cs="Arial" w:eastAsia="Arial" w:hAnsi="Arial"/>
          <w:sz w:val="18"/>
          <w:szCs w:val="18"/>
          <w:color w:val="auto"/>
        </w:rPr>
        <w:t>In connection with the October 2015 acquisition of Bluenica, we agreed to make contingent payments over a period of up to 4 years, subject to achieving specified revenue thresholds for sales of Bluenica products. The fair value of the liability for contingent consideration recognized was $10.4 million upon acquisition. We paid $0.5 million in fiscal 2017, no payments in fiscal 2018, $2.2 million in fiscal 2019 and the final installment of $2.9 million in fiscal 2020.</w:t>
      </w:r>
    </w:p>
    <w:p>
      <w:pPr>
        <w:spacing w:after="0" w:line="14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November 2016 acquisition of FreshTemp</w:t>
      </w:r>
      <w:r>
        <w:rPr>
          <w:rFonts w:ascii="Arial" w:cs="Arial" w:eastAsia="Arial" w:hAnsi="Arial"/>
          <w:sz w:val="23"/>
          <w:szCs w:val="23"/>
          <w:color w:val="auto"/>
          <w:vertAlign w:val="superscript"/>
        </w:rPr>
        <w:t>®</w:t>
      </w:r>
      <w:r>
        <w:rPr>
          <w:rFonts w:ascii="Arial" w:cs="Arial" w:eastAsia="Arial" w:hAnsi="Arial"/>
          <w:sz w:val="18"/>
          <w:szCs w:val="18"/>
          <w:color w:val="auto"/>
        </w:rPr>
        <w:t>, we were required to make a contingent payment after June 30, 2018, for revenue related to specific customer contracts signed by June 30, 2017. The fair value of the liability for consideration recognized upon acquisition was $1.3 million. We made a final payment of $0.2 million during fiscal 2019.</w:t>
      </w:r>
    </w:p>
    <w:p>
      <w:pPr>
        <w:spacing w:after="0" w:line="16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connection our acquisition of TempAlert, we agreed to make contingent payments for the twelve month periods ending December 31, 2018 and December 31, 2019 based on the total Digi IoT Solutions segment revenue. The fair value of the liability for contingent consideration was zero upon acquisition. No contingent consideration was earned.</w:t>
      </w:r>
    </w:p>
    <w:p>
      <w:pPr>
        <w:spacing w:after="0" w:line="1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our acquisition of Accelerated, we agreed to make contingent payments, based upon certain sales thresholds of Accelerated products. The fair values of the liability for contingent consideration recognized upon acquisition of Accelerated on January 22, 2018 was $2.3 million. We paid the first installment of $3.5 million in fiscal 2019 and the final installment of $2.4 million in the third quarter of fiscal 2020.</w:t>
      </w:r>
    </w:p>
    <w:p>
      <w:pPr>
        <w:spacing w:after="0" w:line="1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connection with our acquisition of Opengear, we agreed to make contingent payments, based upon certain revenue thresholds. We paid the first installment of $0.9 million during the third quarter of fiscal 2020. We paid the final installment of $10.0 million during the second quarter of fiscal 2021.</w:t>
      </w:r>
    </w:p>
    <w:p>
      <w:pPr>
        <w:spacing w:after="0" w:line="83" w:lineRule="exact"/>
        <w:rPr>
          <w:sz w:val="20"/>
          <w:szCs w:val="20"/>
          <w:color w:val="auto"/>
        </w:rPr>
      </w:pPr>
    </w:p>
    <w:p>
      <w:pPr>
        <w:ind w:right="2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connection with our acquisition of Haxiot, we agreed to make contingent earn-out payments, based upon certain revenue thresholds (see </w:t>
      </w:r>
      <w:hyperlink w:anchor="page51">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 the fiscal third quarter of fiscal 2021, the preliminary purchase price allocation was updated, including related determination of fair value and income tax implications. As a result, we adjusted goodwill to $8.6 million and adjusted contingent consideration to $5.9 million on our balance sheet.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6. FAIR VALUE MEASUREMENTS (CONTINUED)</w:t>
      </w:r>
    </w:p>
    <w:p>
      <w:pPr>
        <w:spacing w:after="0" w:line="198" w:lineRule="exact"/>
        <w:rPr>
          <w:sz w:val="20"/>
          <w:szCs w:val="20"/>
          <w:color w:val="auto"/>
        </w:rPr>
      </w:pPr>
    </w:p>
    <w:p>
      <w:pPr>
        <w:jc w:val="both"/>
        <w:ind w:right="4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connection with our acquisition of Ctek, we agreed to make contingent earn-out payments, based upon certain revenue thresholds (see </w:t>
      </w:r>
      <w:hyperlink w:anchor="page51">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The fair value of the remaining liability for contingent consideration for the acquisition of Ctek was $0.3 million at September 30, 2021.</w:t>
      </w:r>
    </w:p>
    <w:p>
      <w:pPr>
        <w:spacing w:after="0" w:line="14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presents a reconciliation of the contingent consideration liability measured at fair value on a recurring basis using significant unobservable inputs (Level 3)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Year ended September 30,</w:t>
            </w:r>
          </w:p>
        </w:tc>
      </w:tr>
      <w:tr>
        <w:trPr>
          <w:trHeight w:val="223"/>
        </w:trPr>
        <w:tc>
          <w:tcPr>
            <w:tcW w:w="8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Purchase price contingent consideration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payments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change in fair value of contingent consideration reflects our estimate of the probability of achieving the relevant targets and is discounted based on our estimated discount rate. Due to the timing of the acquisition, the fair value of the contingent consideration at September 30, 2021 is based on the probability of achieving the specified revenue thresholds for Haxiot and Ctek. As of September 30, 2021, contingent consideration associated with Haxiot and Ctek remain subject to future performance through December 31, 2022 and 2023,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 INDEBTEDNESS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15, 2021, we entered into an amended and restated credit agreement with BMO Harris Bank N.A. ("BMO"). This agreement provides us with a senior secured credit facility (the "Credit Facility") consisting of a $200 million revolving loan (the "Revolving Loan"). This loan replaced our syndicated senior secured credit agreement with BMO that was entered into on December 13, 2019 and replaced the remaining balance of our term loan with this new revolver. This prior agreement provided us with committed credit facilities ("Prior Credit Facility") totaling $150 million, which included a $50 million term loan and a $100 million revolving loan. We may use the Revolving Loan for working capital, capital expenditures, restricted payments and acquisitions permitted under the agreement.</w:t>
      </w:r>
    </w:p>
    <w:p>
      <w:pPr>
        <w:spacing w:after="0" w:line="1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Borrowings under the Credit Facility bear a variable interest rate of LIBOR plus an applicable margin spread from 1.25% to 3.25%. The amount of the applicable margin spread is a function of our leverage ratio and is reset monthly. In addition to paying interest on the outstanding balance under the Credit Facility, we are required to pay a commitment fee on the non-utilized commitments thereunder which is also reported in interest expense. Our weighted average interest rate at September 30, 2021 was 1.34%.</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debt issuance costs under the Prior Credit Facility totaled $2.6 million and is being amortized using the straight-line method over the term of the loan and reported in interest expense. The credit facility amendment was determined to be a modification so the existing costs will continue to be amortized over the term of the new facility. The balance remaining at September 30, 2021 was $2.3 million.</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Revolving Loan is due in a lump sum payment at maturity on March 15, 2026. The fair value of the Revolving Loan approximated carrying value at September 30, 2021.</w:t>
      </w:r>
    </w:p>
    <w:p>
      <w:pPr>
        <w:spacing w:after="0" w:line="130"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On November 1, 2021, Digi entered into a second amended and restated credit agreement consisting of a $350 million term loan B secured loan and a $35 million revolving credit facility (See </w:t>
      </w:r>
      <w:hyperlink w:anchor="page73">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7. INDEBTEDNESS (CONTINUED)</w:t>
            </w: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5"/>
        </w:trPr>
        <w:tc>
          <w:tcPr>
            <w:tcW w:w="6820" w:type="dxa"/>
            <w:vAlign w:val="bottom"/>
          </w:tcPr>
          <w:p>
            <w:pPr>
              <w:spacing w:after="0"/>
              <w:rPr>
                <w:sz w:val="20"/>
                <w:szCs w:val="20"/>
                <w:color w:val="auto"/>
              </w:rPr>
            </w:pPr>
            <w:r>
              <w:rPr>
                <w:rFonts w:ascii="Arial" w:cs="Arial" w:eastAsia="Arial" w:hAnsi="Arial"/>
                <w:sz w:val="18"/>
                <w:szCs w:val="18"/>
                <w:color w:val="auto"/>
              </w:rPr>
              <w:t>The following table is a summary of our long-term indebtedness (in thousands):</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08"/>
        </w:trPr>
        <w:tc>
          <w:tcPr>
            <w:tcW w:w="6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r>
      <w:tr>
        <w:trPr>
          <w:trHeight w:val="229"/>
        </w:trPr>
        <w:tc>
          <w:tcPr>
            <w:tcW w:w="68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As of September 30,</w:t>
            </w: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2020</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loan</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48,118</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15,000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48,125</w:t>
            </w:r>
          </w:p>
        </w:tc>
      </w:tr>
      <w:tr>
        <w:trPr>
          <w:trHeight w:val="223"/>
        </w:trPr>
        <w:tc>
          <w:tcPr>
            <w:tcW w:w="6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loans</w:t>
            </w:r>
          </w:p>
        </w:tc>
        <w:tc>
          <w:tcPr>
            <w:tcW w:w="1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63,125</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Less unamortized issuance costs</w:t>
            </w: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4"/>
              </w:rPr>
              <w:t>(2,173)</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4"/>
              </w:rPr>
              <w:t>(1,972)</w:t>
            </w:r>
          </w:p>
        </w:tc>
      </w:tr>
      <w:tr>
        <w:trPr>
          <w:trHeight w:val="223"/>
        </w:trPr>
        <w:tc>
          <w:tcPr>
            <w:tcW w:w="6820" w:type="dxa"/>
            <w:vAlign w:val="bottom"/>
          </w:tcPr>
          <w:p>
            <w:pPr>
              <w:ind w:left="140"/>
              <w:spacing w:after="0"/>
              <w:rPr>
                <w:sz w:val="20"/>
                <w:szCs w:val="20"/>
                <w:color w:val="auto"/>
              </w:rPr>
            </w:pPr>
            <w:r>
              <w:rPr>
                <w:rFonts w:ascii="Arial" w:cs="Arial" w:eastAsia="Arial" w:hAnsi="Arial"/>
                <w:sz w:val="18"/>
                <w:szCs w:val="18"/>
                <w:color w:val="auto"/>
              </w:rPr>
              <w:t>Total long-term debt, net of current portion</w:t>
            </w: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45,799</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8"/>
              </w:rPr>
              <w:t>58,980</w:t>
            </w:r>
          </w:p>
        </w:tc>
      </w:tr>
      <w:tr>
        <w:trPr>
          <w:trHeight w:val="21"/>
        </w:trPr>
        <w:tc>
          <w:tcPr>
            <w:tcW w:w="6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gridSpan w:val="3"/>
          </w:tcPr>
          <w:p>
            <w:pPr>
              <w:spacing w:after="0"/>
              <w:rPr>
                <w:sz w:val="20"/>
                <w:szCs w:val="20"/>
                <w:color w:val="auto"/>
              </w:rPr>
            </w:pPr>
            <w:r>
              <w:rPr>
                <w:rFonts w:ascii="Arial" w:cs="Arial" w:eastAsia="Arial" w:hAnsi="Arial"/>
                <w:sz w:val="18"/>
                <w:szCs w:val="18"/>
                <w:color w:val="auto"/>
                <w:w w:val="91"/>
              </w:rPr>
              <w:t>The following table is a summary of future maturities of our aggregate long-term debt at September 30, 2021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40" w:type="dxa"/>
            <w:vAlign w:val="bottom"/>
          </w:tcPr>
          <w:p>
            <w:pPr>
              <w:spacing w:after="0"/>
              <w:rPr>
                <w:sz w:val="22"/>
                <w:szCs w:val="22"/>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Amount</w:t>
            </w:r>
          </w:p>
        </w:tc>
      </w:tr>
      <w:tr>
        <w:trPr>
          <w:trHeight w:val="223"/>
        </w:trPr>
        <w:tc>
          <w:tcPr>
            <w:tcW w:w="40" w:type="dxa"/>
            <w:vAlign w:val="bottom"/>
          </w:tcPr>
          <w:p>
            <w:pPr>
              <w:spacing w:after="0"/>
              <w:rPr>
                <w:sz w:val="19"/>
                <w:szCs w:val="19"/>
                <w:color w:val="auto"/>
              </w:rPr>
            </w:pPr>
          </w:p>
        </w:tc>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48,118</w:t>
            </w:r>
          </w:p>
        </w:tc>
      </w:tr>
      <w:tr>
        <w:trPr>
          <w:trHeight w:val="223"/>
        </w:trPr>
        <w:tc>
          <w:tcPr>
            <w:tcW w:w="4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48,118</w:t>
            </w:r>
          </w:p>
        </w:tc>
      </w:tr>
      <w:tr>
        <w:trPr>
          <w:trHeight w:val="20"/>
        </w:trPr>
        <w:tc>
          <w:tcPr>
            <w:tcW w:w="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Security Interest</w:t>
      </w:r>
    </w:p>
    <w:p>
      <w:pPr>
        <w:spacing w:after="0" w:line="18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agreements governing the Credit Facility contain a number of covenants. Among other thing, these covenants require us to maintain certain financial ratios (net leverage ratio and minimum fixed charge ratio). At September 30, 2021, we were in compliance with our debt covenants. Amounts borrowed under the Credit Facility are secured by substantially all of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8. PRODUCT WARRANTY OBLIGATION</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the activity associated with the product warranty accrual (in thousands) and is listed on our consolidated balance sheets within current liabilities: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Balance at</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Warranties</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Settlements</w:t>
            </w:r>
          </w:p>
        </w:tc>
        <w:tc>
          <w:tcPr>
            <w:tcW w:w="14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Balance at</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25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October 1</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accrued</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made</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September 30</w:t>
            </w: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2020</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9. LEASES</w:t>
      </w:r>
    </w:p>
    <w:p>
      <w:pPr>
        <w:spacing w:after="0" w:line="19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All of our leases are operating leases and primarily consist of leases for office space. For any lease with an initial term in excess of twelve months, the related lease assets and lease liabilities are recognized on our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initial term of twelve months or less are not recorded on our consolidated balance sheets. Instead we recognize lease expense for these leases on a straight-line basis over the lease term.</w:t>
      </w:r>
    </w:p>
    <w:p>
      <w:pPr>
        <w:spacing w:after="0" w:line="1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9. LEASES (CONTINUED)</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payments. When determining our right-of-use asset, we generally do not include options to extend or terminate the lease unless it is reasonably certain that the option will be exercised.</w:t>
      </w:r>
    </w:p>
    <w:p>
      <w:pPr>
        <w:spacing w:after="0" w:line="13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supplemental balance sheet information related to our leases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w w:val="90"/>
              </w:rPr>
              <w:t>September 30, 2020</w:t>
            </w: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leases</w:t>
            </w:r>
          </w:p>
        </w:tc>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assets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2,527</w:t>
            </w:r>
          </w:p>
        </w:tc>
      </w:tr>
      <w:tr>
        <w:trPr>
          <w:trHeight w:val="229"/>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w:t>
            </w:r>
          </w:p>
        </w:tc>
      </w:tr>
      <w:tr>
        <w:trPr>
          <w:trHeight w:val="223"/>
        </w:trPr>
        <w:tc>
          <w:tcPr>
            <w:tcW w:w="220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18,720</w:t>
            </w:r>
          </w:p>
        </w:tc>
      </w:tr>
      <w:tr>
        <w:trPr>
          <w:trHeight w:val="20"/>
        </w:trPr>
        <w:tc>
          <w:tcPr>
            <w:tcW w:w="2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were the components of our lease cost which is recorded in both cost of goods sold and selling, general and administrative expense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5000" w:type="dxa"/>
            <w:vAlign w:val="bottom"/>
            <w:gridSpan w:val="2"/>
            <w:vMerge w:val="restart"/>
          </w:tcPr>
          <w:p>
            <w:pPr>
              <w:ind w:left="20"/>
              <w:spacing w:after="0"/>
              <w:rPr>
                <w:sz w:val="20"/>
                <w:szCs w:val="20"/>
                <w:color w:val="auto"/>
              </w:rPr>
            </w:pPr>
            <w:r>
              <w:rPr>
                <w:rFonts w:ascii="Arial" w:cs="Arial" w:eastAsia="Arial" w:hAnsi="Arial"/>
                <w:sz w:val="18"/>
                <w:szCs w:val="18"/>
                <w:color w:val="auto"/>
              </w:rPr>
              <w:t>Statement of Operations Location</w:t>
            </w: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Year ended</w:t>
            </w:r>
          </w:p>
        </w:tc>
        <w:tc>
          <w:tcPr>
            <w:tcW w:w="200" w:type="dxa"/>
            <w:vAlign w:val="bottom"/>
          </w:tcPr>
          <w:p>
            <w:pPr>
              <w:spacing w:after="0"/>
              <w:rPr>
                <w:sz w:val="18"/>
                <w:szCs w:val="18"/>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2021</w:t>
            </w:r>
          </w:p>
        </w:tc>
        <w:tc>
          <w:tcPr>
            <w:tcW w:w="200" w:type="dxa"/>
            <w:vAlign w:val="bottom"/>
          </w:tcPr>
          <w:p>
            <w:pPr>
              <w:spacing w:after="0"/>
              <w:rPr>
                <w:sz w:val="19"/>
                <w:szCs w:val="19"/>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1"/>
              </w:rPr>
              <w:t>September 30, 2020</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goods sold and SG&amp;A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Cost of goods sold and SG&amp;A</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 and SG&amp;A</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16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The following table presents supplemental information related to operating leases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51"/>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Year ended</w:t>
            </w:r>
          </w:p>
        </w:tc>
        <w:tc>
          <w:tcPr>
            <w:tcW w:w="120" w:type="dxa"/>
            <w:vAlign w:val="bottom"/>
          </w:tcPr>
          <w:p>
            <w:pPr>
              <w:spacing w:after="0"/>
              <w:rPr>
                <w:sz w:val="24"/>
                <w:szCs w:val="24"/>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Year ended</w:t>
            </w:r>
          </w:p>
        </w:tc>
      </w:tr>
      <w:tr>
        <w:trPr>
          <w:trHeight w:val="230"/>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September 30, 2021</w:t>
            </w:r>
          </w:p>
        </w:tc>
        <w:tc>
          <w:tcPr>
            <w:tcW w:w="12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8"/>
              </w:rPr>
              <w:t>September 30, 2020</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tenant improvement allowance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7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September 30, 2021</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years</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944"/>
        </w:trPr>
        <w:tc>
          <w:tcPr>
            <w:tcW w:w="7740" w:type="dxa"/>
            <w:vAlign w:val="bottom"/>
          </w:tcPr>
          <w:p>
            <w:pPr>
              <w:ind w:left="55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9. LEASES (CONTINUED)</w:t>
      </w:r>
    </w:p>
    <w:p>
      <w:pPr>
        <w:spacing w:after="0" w:line="198"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table below reconciles the undiscounted cash flows for each of the first five years as well as all the remaining years to the operating lease liabilities recorded on the Consolidated Balance Sheet as of September 30,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Amount</w:t>
            </w:r>
          </w:p>
        </w:tc>
      </w:tr>
      <w:tr>
        <w:trPr>
          <w:trHeight w:val="223"/>
        </w:trPr>
        <w:tc>
          <w:tcPr>
            <w:tcW w:w="9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3,288</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2,821</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r>
      <w:tr>
        <w:trPr>
          <w:trHeight w:val="229"/>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r>
      <w:tr>
        <w:trPr>
          <w:trHeight w:val="22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future undiscounted lease payments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24,628</w:t>
            </w:r>
          </w:p>
        </w:tc>
      </w:tr>
      <w:tr>
        <w:trPr>
          <w:trHeight w:val="229"/>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r>
      <w:tr>
        <w:trPr>
          <w:trHeight w:val="24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reported lease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10. RESTRUCTURING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Q1 FY2021 Restructuring</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October 7, 2020, our Board of Directors approved a reorganization of our IoT Products &amp; Services business segment. The restructuring plan aligns the business segment's organization around product lines. Under this plan, we recorded a charge of $0.7 million for employee termination charges and eliminated 19 employment positions primarily in the U.S. during the three months ended December 31, 2020. In the second quarter of fiscal 2021 we recorded an additional $0.2 million related to this restructuring. In the third quarter of fiscal 2021 we recorded an additional $0.1 million related to this restructuring. The charges relating to this restructuring were fully paid during the fourth quarter of fiscal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Restructuring</w:t>
      </w:r>
    </w:p>
    <w:p>
      <w:pPr>
        <w:spacing w:after="0" w:line="18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second quarter of fiscal 2020, we recorded and re-aligned our product management group within IoT Products &amp; Services segment and eliminated two employment positions. We recorded $38 thousand for employee termination charges. This was fully paid during the second quarter of fiscal 2020.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2020, we recorded $95 thousand of restructuring for employee termination charges primarily within our IoT Solutions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resulted in the elimination of 22 employment positions. This restructuring was completed in the fourth quarter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Transition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announced in April 2018, we transferred the manufacturing functions of our Eden Prairie, Minnesota operations facility to existing contract manufacture suppliers. As a result, 53 employment positions in total were eliminated, resulting in restructuring charges amounting to approximately $0.5 million for employee costs during the third and fourth quarters of fiscal 2018 in our IoT Product and Services segment. The payments associated with these charges were completed in the first half of fiscal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Restructuring</w:t>
      </w:r>
    </w:p>
    <w:p>
      <w:pPr>
        <w:spacing w:after="0" w:line="19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2017, we approved a restructuring plan primarily impacting our France location, which is now closed. We also eliminated certain employment positions in the U.S. The restructuring was the result of a decision to consolidate our France operations to our Europe, Middle East and Africa ("EMEA") headquarters in Munich. The total restructuring charges amounted to $2.5 million in fiscal 2017, which included $2.3 million of employee costs and $0.2 million of contract termination costs during the third quarter of fiscal 2017 in our IoT Product and Services segment. These actions resulted in an elimination of 10 employment positions in the U.S. and 8 employment positions in France. The payments associated with these charges were completed during the first half of fiscal 2019.</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10. RESTRUCTURING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restructuring charges and other activity within the restructuring accrual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Arial" w:cs="Arial" w:eastAsia="Arial" w:hAnsi="Arial"/>
                <w:sz w:val="17"/>
                <w:szCs w:val="17"/>
                <w:color w:val="auto"/>
                <w:w w:val="89"/>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Arial" w:cs="Arial" w:eastAsia="Arial" w:hAnsi="Arial"/>
                <w:sz w:val="17"/>
                <w:szCs w:val="17"/>
                <w:color w:val="auto"/>
                <w:w w:val="89"/>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7"/>
                <w:szCs w:val="17"/>
                <w:color w:val="auto"/>
                <w:w w:val="96"/>
              </w:rPr>
              <w:t>Manufacturing</w:t>
            </w:r>
          </w:p>
        </w:tc>
        <w:tc>
          <w:tcPr>
            <w:tcW w:w="2480" w:type="dxa"/>
            <w:vAlign w:val="bottom"/>
            <w:gridSpan w:val="7"/>
            <w:vMerge w:val="restart"/>
          </w:tcPr>
          <w:p>
            <w:pPr>
              <w:jc w:val="right"/>
              <w:ind w:right="372"/>
              <w:spacing w:after="0"/>
              <w:rPr>
                <w:sz w:val="20"/>
                <w:szCs w:val="20"/>
                <w:color w:val="auto"/>
              </w:rPr>
            </w:pPr>
            <w:r>
              <w:rPr>
                <w:rFonts w:ascii="Arial" w:cs="Arial" w:eastAsia="Arial" w:hAnsi="Arial"/>
                <w:sz w:val="17"/>
                <w:szCs w:val="17"/>
                <w:color w:val="auto"/>
              </w:rPr>
              <w:t>2017 Restructuring</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Restructuring</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Restructuring</w:t>
            </w:r>
          </w:p>
        </w:tc>
        <w:tc>
          <w:tcPr>
            <w:tcW w:w="1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Transition</w:t>
            </w:r>
          </w:p>
        </w:tc>
        <w:tc>
          <w:tcPr>
            <w:tcW w:w="248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7"/>
                <w:szCs w:val="17"/>
                <w:color w:val="auto"/>
                <w:w w:val="92"/>
              </w:rPr>
              <w:t>Employee</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7"/>
                <w:szCs w:val="17"/>
                <w:color w:val="auto"/>
                <w:w w:val="92"/>
              </w:rPr>
              <w:t>Employee</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54"/>
              <w:spacing w:after="0" w:line="155" w:lineRule="exact"/>
              <w:rPr>
                <w:sz w:val="20"/>
                <w:szCs w:val="20"/>
                <w:color w:val="auto"/>
              </w:rPr>
            </w:pPr>
            <w:r>
              <w:rPr>
                <w:rFonts w:ascii="Arial" w:cs="Arial" w:eastAsia="Arial" w:hAnsi="Arial"/>
                <w:sz w:val="17"/>
                <w:szCs w:val="17"/>
                <w:color w:val="auto"/>
                <w:w w:val="89"/>
              </w:rPr>
              <w:t>Employee</w:t>
            </w:r>
          </w:p>
        </w:tc>
        <w:tc>
          <w:tcPr>
            <w:tcW w:w="100" w:type="dxa"/>
            <w:vAlign w:val="bottom"/>
          </w:tcPr>
          <w:p>
            <w:pPr>
              <w:spacing w:after="0"/>
              <w:rPr>
                <w:sz w:val="13"/>
                <w:szCs w:val="13"/>
                <w:color w:val="auto"/>
              </w:rPr>
            </w:pPr>
          </w:p>
        </w:tc>
        <w:tc>
          <w:tcPr>
            <w:tcW w:w="1440" w:type="dxa"/>
            <w:vAlign w:val="bottom"/>
            <w:tcBorders>
              <w:top w:val="single" w:sz="8" w:color="auto"/>
            </w:tcBorders>
            <w:gridSpan w:val="5"/>
          </w:tcPr>
          <w:p>
            <w:pPr>
              <w:jc w:val="center"/>
              <w:ind w:right="120"/>
              <w:spacing w:after="0" w:line="155" w:lineRule="exact"/>
              <w:rPr>
                <w:sz w:val="20"/>
                <w:szCs w:val="20"/>
                <w:color w:val="auto"/>
              </w:rPr>
            </w:pPr>
            <w:r>
              <w:rPr>
                <w:rFonts w:ascii="Arial" w:cs="Arial" w:eastAsia="Arial" w:hAnsi="Arial"/>
                <w:sz w:val="17"/>
                <w:szCs w:val="17"/>
                <w:color w:val="auto"/>
                <w:w w:val="89"/>
              </w:rPr>
              <w:t>Employee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7"/>
                <w:szCs w:val="17"/>
                <w:color w:val="auto"/>
              </w:rPr>
              <w:t>Other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7"/>
                <w:szCs w:val="17"/>
                <w:color w:val="auto"/>
                <w:w w:val="91"/>
              </w:rPr>
              <w:t>Termination Costs</w:t>
            </w:r>
          </w:p>
        </w:tc>
        <w:tc>
          <w:tcPr>
            <w:tcW w:w="1420" w:type="dxa"/>
            <w:vAlign w:val="bottom"/>
            <w:gridSpan w:val="3"/>
          </w:tcPr>
          <w:p>
            <w:pPr>
              <w:jc w:val="center"/>
              <w:ind w:right="80"/>
              <w:spacing w:after="0"/>
              <w:rPr>
                <w:sz w:val="20"/>
                <w:szCs w:val="20"/>
                <w:color w:val="auto"/>
              </w:rPr>
            </w:pPr>
            <w:r>
              <w:rPr>
                <w:rFonts w:ascii="Arial" w:cs="Arial" w:eastAsia="Arial" w:hAnsi="Arial"/>
                <w:sz w:val="17"/>
                <w:szCs w:val="17"/>
                <w:color w:val="auto"/>
                <w:w w:val="91"/>
              </w:rPr>
              <w:t>Termination Costs</w:t>
            </w:r>
          </w:p>
        </w:tc>
        <w:tc>
          <w:tcPr>
            <w:tcW w:w="1500" w:type="dxa"/>
            <w:vAlign w:val="bottom"/>
            <w:gridSpan w:val="4"/>
          </w:tcPr>
          <w:p>
            <w:pPr>
              <w:jc w:val="center"/>
              <w:ind w:right="100"/>
              <w:spacing w:after="0"/>
              <w:rPr>
                <w:sz w:val="20"/>
                <w:szCs w:val="20"/>
                <w:color w:val="auto"/>
              </w:rPr>
            </w:pPr>
            <w:r>
              <w:rPr>
                <w:rFonts w:ascii="Arial" w:cs="Arial" w:eastAsia="Arial" w:hAnsi="Arial"/>
                <w:sz w:val="17"/>
                <w:szCs w:val="17"/>
                <w:color w:val="auto"/>
                <w:w w:val="89"/>
              </w:rPr>
              <w:t>Termination Costs</w:t>
            </w:r>
          </w:p>
        </w:tc>
        <w:tc>
          <w:tcPr>
            <w:tcW w:w="1440" w:type="dxa"/>
            <w:vAlign w:val="bottom"/>
            <w:gridSpan w:val="5"/>
          </w:tcPr>
          <w:p>
            <w:pPr>
              <w:jc w:val="center"/>
              <w:ind w:right="100"/>
              <w:spacing w:after="0"/>
              <w:rPr>
                <w:sz w:val="20"/>
                <w:szCs w:val="20"/>
                <w:color w:val="auto"/>
              </w:rPr>
            </w:pPr>
            <w:r>
              <w:rPr>
                <w:rFonts w:ascii="Arial" w:cs="Arial" w:eastAsia="Arial" w:hAnsi="Arial"/>
                <w:sz w:val="17"/>
                <w:szCs w:val="17"/>
                <w:color w:val="auto"/>
                <w:w w:val="91"/>
              </w:rPr>
              <w:t>Termination Costs</w:t>
            </w: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2"/>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4"/>
              </w:rPr>
              <w:t>13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Restructuring charge</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Reversals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fluctuation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7"/>
                <w:szCs w:val="17"/>
                <w:color w:val="auto"/>
              </w:rPr>
              <w:t>Balance at September 30, 2019</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Payments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Reversals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Foreign currency fluctuation</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2020</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Restructuring charge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(935)</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Reversals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fluctuation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
        </w:trPr>
        <w:tc>
          <w:tcPr>
            <w:tcW w:w="2740" w:type="dxa"/>
            <w:vAlign w:val="bottom"/>
            <w:vMerge w:val="restart"/>
          </w:tcPr>
          <w:p>
            <w:pPr>
              <w:spacing w:after="0"/>
              <w:rPr>
                <w:sz w:val="20"/>
                <w:szCs w:val="20"/>
                <w:color w:val="auto"/>
              </w:rPr>
            </w:pPr>
            <w:r>
              <w:rPr>
                <w:rFonts w:ascii="Arial" w:cs="Arial" w:eastAsia="Arial" w:hAnsi="Arial"/>
                <w:sz w:val="18"/>
                <w:szCs w:val="18"/>
                <w:color w:val="auto"/>
              </w:rPr>
              <w:t>11. REVENUE</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Arial" w:cs="Arial" w:eastAsia="Arial" w:hAnsi="Arial"/>
                <w:sz w:val="18"/>
                <w:szCs w:val="18"/>
                <w:b w:val="1"/>
                <w:bCs w:val="1"/>
                <w:color w:val="auto"/>
              </w:rPr>
              <w:t>Revenue Disaggregation</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80" w:type="dxa"/>
            <w:vAlign w:val="bottom"/>
            <w:gridSpan w:val="11"/>
          </w:tcPr>
          <w:p>
            <w:pPr>
              <w:spacing w:after="0"/>
              <w:rPr>
                <w:sz w:val="20"/>
                <w:szCs w:val="20"/>
                <w:color w:val="auto"/>
              </w:rPr>
            </w:pPr>
            <w:r>
              <w:rPr>
                <w:rFonts w:ascii="Arial" w:cs="Arial" w:eastAsia="Arial" w:hAnsi="Arial"/>
                <w:sz w:val="18"/>
                <w:szCs w:val="18"/>
                <w:color w:val="auto"/>
              </w:rPr>
              <w:t>The following table summarizes our revenue by geographic location of our customers: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88"/>
              </w:rPr>
              <w:t>Year ended September 30,</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thousands)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7"/>
                <w:szCs w:val="17"/>
                <w:color w:val="auto"/>
                <w:w w:val="89"/>
              </w:rPr>
              <w:t>2020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North America, primarily the United States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Europe, Middle East &amp; Africa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308,632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279,271</w:t>
            </w: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9"/>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080" w:type="dxa"/>
            <w:vAlign w:val="bottom"/>
            <w:gridSpan w:val="11"/>
          </w:tcPr>
          <w:p>
            <w:pPr>
              <w:spacing w:after="0"/>
              <w:rPr>
                <w:sz w:val="20"/>
                <w:szCs w:val="20"/>
                <w:color w:val="auto"/>
              </w:rPr>
            </w:pPr>
            <w:r>
              <w:rPr>
                <w:rFonts w:ascii="Arial" w:cs="Arial" w:eastAsia="Arial" w:hAnsi="Arial"/>
                <w:sz w:val="18"/>
                <w:szCs w:val="18"/>
                <w:color w:val="auto"/>
              </w:rPr>
              <w:t>The following table summarizes our revenue by the timing of revenue recognition: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88"/>
              </w:rPr>
              <w:t>Year ended September 30,</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thousands)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7"/>
                <w:szCs w:val="17"/>
                <w:color w:val="auto"/>
                <w:w w:val="89"/>
              </w:rPr>
              <w:t>2020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at a point in time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274,960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253,371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Transferred over time</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308,632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Contract assets consist of subscriber assets. These subscriber assets relate to fees in certain contracts that we charge our customers so they can begin using equipment. In these cases, we retain the ownership of the equipment that the customer uses.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11. REVENUE (CONTINUED)</w:t>
      </w:r>
    </w:p>
    <w:p>
      <w:pPr>
        <w:spacing w:after="0" w:line="14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total net book value of subscriber assets was $1.9 million at September 30, 2021 and $2.0 million at September 30, 2020 and is included in property, equipment and improvements, net. Depreciation expense for these subscriber assets was $1.9 million, $1.5 million and $1.1 million for fiscal 2021, 2020 and 2019, respectively. We depreciate the cost of this equipment over its useful life (typically three years).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31"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The timing of revenue recognition may differ from the timing of invoicing to customers. Customers are invoiced for subscription services in advance on a monthly, quarterly or annual basis. Contract liabilities consist of unearned revenue related to annual or multi-year contracts for subscription services and related implementation fees for our IoT Solutions segment and our Digi Remote Manager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in our IoT Products &amp; Services segment.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Changes in unearned revenue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 ended September 30,</w:t>
            </w:r>
          </w:p>
        </w:tc>
        <w:tc>
          <w:tcPr>
            <w:tcW w:w="1100" w:type="dxa"/>
            <w:vAlign w:val="bottom"/>
            <w:tcBorders>
              <w:bottom w:val="single" w:sz="8" w:color="auto"/>
            </w:tcBorders>
          </w:tcPr>
          <w:p>
            <w:pPr>
              <w:spacing w:after="0"/>
              <w:rPr>
                <w:sz w:val="20"/>
                <w:szCs w:val="20"/>
                <w:color w:val="auto"/>
              </w:rPr>
            </w:pPr>
          </w:p>
        </w:tc>
      </w:tr>
      <w:tr>
        <w:trPr>
          <w:trHeight w:val="210"/>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 in thousands)</w:t>
            </w:r>
          </w:p>
        </w:tc>
        <w:tc>
          <w:tcPr>
            <w:tcW w:w="32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7"/>
                <w:szCs w:val="17"/>
                <w:color w:val="auto"/>
              </w:rPr>
              <w:t>2020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7"/>
                <w:szCs w:val="17"/>
                <w:color w:val="auto"/>
              </w:rPr>
              <w:t>2019</w:t>
            </w:r>
          </w:p>
        </w:tc>
      </w:tr>
      <w:tr>
        <w:trPr>
          <w:trHeight w:val="223"/>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Unearned revenue,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Billings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43,071</w:t>
            </w: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(41,979)</w:t>
            </w:r>
          </w:p>
        </w:tc>
      </w:tr>
      <w:tr>
        <w:trPr>
          <w:trHeight w:val="22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Unearned revenue,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Transaction Price</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Transaction price allocated to the remaining performance obligations represents contracted revenue that has not been recognized, which includes unearned revenue and unbilled amounts that will be recognized as revenue in future periods. As of September 30, 2021 approximately $17.4 million of revenue is expected to be recognized from remaining performance obligations for subscriptions contracts. We expect to recognize revenue on approximately $14.4 million of remaining performance obligations over the next twelve months. Revenue from the remaining performance obligations we expect to recognize over a range of two years to seven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12.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are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center"/>
              <w:ind w:left="695"/>
              <w:spacing w:after="0"/>
              <w:rPr>
                <w:sz w:val="20"/>
                <w:szCs w:val="20"/>
                <w:color w:val="auto"/>
              </w:rPr>
            </w:pPr>
            <w:r>
              <w:rPr>
                <w:rFonts w:ascii="Arial" w:cs="Arial" w:eastAsia="Arial" w:hAnsi="Arial"/>
                <w:sz w:val="17"/>
                <w:szCs w:val="17"/>
                <w:color w:val="auto"/>
                <w:w w:val="88"/>
              </w:rPr>
              <w:t>Year ended September 30,</w:t>
            </w: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color w:val="auto"/>
                <w:w w:val="89"/>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before income taxes</w:t>
            </w:r>
          </w:p>
        </w:tc>
        <w:tc>
          <w:tcPr>
            <w:tcW w:w="1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2"/>
              </w:rPr>
              <w:t>The components of the income tax (benefit) expense are (in thousands):</w:t>
            </w: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center"/>
              <w:ind w:left="655"/>
              <w:spacing w:after="0"/>
              <w:rPr>
                <w:sz w:val="20"/>
                <w:szCs w:val="20"/>
                <w:color w:val="auto"/>
              </w:rPr>
            </w:pPr>
            <w:r>
              <w:rPr>
                <w:rFonts w:ascii="Arial" w:cs="Arial" w:eastAsia="Arial" w:hAnsi="Arial"/>
                <w:sz w:val="17"/>
                <w:szCs w:val="17"/>
                <w:color w:val="auto"/>
                <w:w w:val="88"/>
              </w:rPr>
              <w:t>Year ended September 30,</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color w:val="auto"/>
                <w:w w:val="95"/>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7"/>
                <w:szCs w:val="17"/>
                <w:color w:val="auto"/>
              </w:rPr>
              <w:t>Federal</w:t>
            </w:r>
          </w:p>
        </w:tc>
        <w:tc>
          <w:tcPr>
            <w:tcW w:w="1820" w:type="dxa"/>
            <w:vAlign w:val="bottom"/>
            <w:gridSpan w:val="3"/>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State</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7"/>
                <w:szCs w:val="17"/>
                <w:color w:val="auto"/>
              </w:rPr>
              <w:t>Foreign</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7"/>
                <w:szCs w:val="17"/>
                <w:color w:val="auto"/>
              </w:rPr>
              <w:t>Federal</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State</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Foreign</w:t>
            </w: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5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052"/>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12. INCOME TAXES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(liability) asset consists of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As of September 30,</w:t>
            </w:r>
          </w:p>
        </w:tc>
        <w:tc>
          <w:tcPr>
            <w:tcW w:w="1000" w:type="dxa"/>
            <w:vAlign w:val="bottom"/>
            <w:tcBorders>
              <w:bottom w:val="single" w:sz="8" w:color="auto"/>
            </w:tcBorders>
          </w:tcPr>
          <w:p>
            <w:pPr>
              <w:spacing w:after="0"/>
              <w:rPr>
                <w:sz w:val="18"/>
                <w:szCs w:val="18"/>
                <w:color w:val="auto"/>
              </w:rPr>
            </w:pPr>
          </w:p>
        </w:tc>
      </w:tr>
      <w:tr>
        <w:trPr>
          <w:trHeight w:val="212"/>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w w:val="84"/>
              </w:rPr>
              <w:t>2020</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deferred tax asset</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Non-current deferred tax liability</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(13,493)</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(17,171)</w:t>
            </w:r>
          </w:p>
        </w:tc>
      </w:tr>
      <w:tr>
        <w:trPr>
          <w:trHeight w:val="234"/>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deferred tax liability</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(13,054)</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Lease asset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(3,683)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(3,415)</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liability</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costs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Other accruals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6,387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3,985</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 carryforwards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6,021</w:t>
            </w: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(2,186)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(4,372)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Identifiable intangible assets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(24,959)</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(27,118)</w:t>
            </w:r>
          </w:p>
        </w:tc>
      </w:tr>
      <w:tr>
        <w:trPr>
          <w:trHeight w:val="209"/>
        </w:trPr>
        <w:tc>
          <w:tcPr>
            <w:tcW w:w="7840" w:type="dxa"/>
            <w:vAlign w:val="bottom"/>
          </w:tcPr>
          <w:p>
            <w:pPr>
              <w:ind w:left="140"/>
              <w:spacing w:after="0"/>
              <w:rPr>
                <w:sz w:val="20"/>
                <w:szCs w:val="20"/>
                <w:color w:val="auto"/>
              </w:rPr>
            </w:pPr>
            <w:r>
              <w:rPr>
                <w:rFonts w:ascii="Arial" w:cs="Arial" w:eastAsia="Arial" w:hAnsi="Arial"/>
                <w:sz w:val="17"/>
                <w:szCs w:val="17"/>
                <w:color w:val="auto"/>
              </w:rPr>
              <w:t>Net deferred tax (liability) asset</w:t>
            </w: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(13,054)</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(16,782)</w:t>
            </w:r>
          </w:p>
        </w:tc>
      </w:tr>
      <w:tr>
        <w:trPr>
          <w:trHeight w:val="21"/>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we had $2.5 million of tax carryforwards (net of reserves) related to state research and development tax credits. We also had</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$0.5 million of carryforwards consisting of a U.S. net operating losses of $0.2 million, non-U.S. net operating losses of $0.2 million and foreign tax credits of $0.1 million. The majority of our state research and development tax credits have a 15-year carryforward period. The majority of our non-U.S. net operating losses have an unlimited carryforward period. Our non-U.S. tax credit carryforwards will expire in 2034.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12. INCOME TAXES (CONTINUED)</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valuation allowance for certain U.S. and foreign locations was $2.2 million at September 30, 2021 and $4.4 million at September 30, 2020. The decrease in valuation allowance is primarily the result of the expiring U.S. capital loss carryforward of which had a corresponding valuation allowance. The deferred tax assets realized could vary if there are differences in the timing or amount of future reversals of existing deferred tax liabilities or changes in the amounts of future taxable income. If future taxable income projections are not realized, an additional valuation allowance may be required. This would be reflected as income tax expense at the time that any such change in future taxable income is determined.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statutory federal income tax amount to our income tax (benefit) expense is (in thousands):</w:t>
      </w:r>
    </w:p>
    <w:p>
      <w:pPr>
        <w:spacing w:after="0" w:line="144"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Year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7"/>
                <w:szCs w:val="17"/>
                <w:color w:val="auto"/>
              </w:rPr>
              <w:t>2019</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amount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taxes, net of federal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Foreign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Non-deductible executive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Loss Expiration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Utilization of research and development tax credits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(2,173)</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balance sheet remeasure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ASU 2016-09 excess stock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Changes from provision to return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of tax contingency reserves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U.S. deduction for foreign export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 intangible low-taxed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Tax Cuts &amp; Jobs Act of 2017 was enacted in the U.S. on December 22, 2017. We applied the guidance in Staff Accounting Bulletin ("SAB") 118 when accounting for the enactment-date income tax effects of this act in fiscal 2018. At September 30, 2018 we had not fully completed our accounting for the enactment effects of this act. We, however, had recorded a provisional estimate of the tax expense related to the effects on our existing deferred tax balances and the one-time transition tax which totaled $3.0 million in fiscal 2018. In the first quarter of fiscal 2019 we completed our accounting for the enactment date income tax effects of this act, and there were no significant adjustments to the provisional amounts recorded in fiscal 2018. In addition, certain provisions of this act became effective for us in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12. INCOME TAXES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fiscal year</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Increases related to:</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 income tax positions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Current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related to:</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Prior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Expiration of statute of limitations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end of fiscal year</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total amount of unrecognized tax benefits ("UTB") at September 30, 2021 that, if recognized, would affect our effective tax rate was $2.7 million. We expect that it is reasonably possible that the total amounts of UTB will decrease by approximately $0.8 million over the next 12 months due to the expiration of various statutes of limitations. Of the $2.9 million of UTB, $2.3 million is included in non-current income taxes payable and $0.6 million is included with non-current deferred tax assets on the consolidated balance sheets at September 30, 2021.</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 interest and penalties related to income tax matters in income tax expense. During fiscal 2021 and 2020, there were insignificant amounts of interest and penalties related to income tax matters in income tax expense. We accrued interest and penalties related to unrecognized tax benefits of $0.1 million at both September 30, 2021 and 2020. These accrued interest and penalties are included in our non-current income taxes payable on our consolidated balance sheets.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operate in multiple tax jurisdictions both in the U.S. and outside of the U.S. and face audits from various tax authorities regarding transfer pricing, tax credits, and other matters.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may result in adjustments to our income tax balances in those years that are material to our consolidated balance sheets and results of operations.</w:t>
      </w:r>
    </w:p>
    <w:p>
      <w:pPr>
        <w:spacing w:after="0" w:line="14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file a U.S. federal income tax return and income tax returns in various states and foreign jurisdictions. With few exceptions, we are no longer subject to state and local or non-U.S. income tax examinations by tax authorities for years before fiscal year 2017. We are currently under U.S. federal examination for fiscal years 2018, and there is otherwise very limited audit activity of our income tax returns in U.S. state jurisdictions or international jurisdictions.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September 30, 2021, the majority of undistributed foreign earnings are taxed under the one time transition tax and the global intangible low-taxed income ("GILTI") provision of the Tax Cuts and Jobs Act of 2017. Additionally, the previously un-taxed accumulated undistributed foreign earnings from prior fiscal years are still permanently reinvested and, as such, we have not accrued additional U.S. tax. It is our position that the earnings of our foreign subsidiaries are to be reinvested indefinitely to fund current operations and provide for future international expansion opportunities and only repatriate earnings to the extent that U.S. taxes have already been recorded. As of September 30, 2021, we are permanently reinvested with respect to previously non-taxed accumulated earnings in all jurisdictions.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have no current need to repatriate historical foreign earnings that have not been taxed in the U.S., if we change our assertion from indefinitely reinvesting undistributed foreign earnings, we would have to accrue applicable taxes. The amount of any taxes and the application of any tax credits would be determined based on the income tax laws at the time of such repatriation. Under current tax law, we estimate the unrecognized tax liability to be immaterial.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13.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5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March 2021 we sold 4,025,000 shares of our common stock at a public offering price of $19.50 per share. The shares offered were registered pursuant to a registration statement that we filed with the Securities and Exchange Commission. We received net proceeds of $73.8 million, net of transaction expenses of $0.3 million related to the public offering. We intend to use the proceeds for working capital and general corporate purposes. We may, in the future, use the proceeds to acquire or invest in complementary businesses, products and technologies.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w:t>
      </w:r>
    </w:p>
    <w:p>
      <w:pPr>
        <w:spacing w:after="0" w:line="19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Stock-based awards were granted under the 2021 Omnibus Incentive Plan (the "2021 Plan") beginning January 29, 2021. Prior to that date, such awards made in fiscal 2021 were granted under the 2020 Omnibus Incentive Plan (the "2020 Plan"). Upon stockholder approval of the 2021 Plan, we ceased granting awards under the 2020 Plan. Shares subject to awards under the 2020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2021 Plan authorizes the issuance of up to 1,400,000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2021 Plan is scheduled to expire on January 28, 2031. Options under the 2021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restricted stock units or performance stock units, we issue new shares of stock. As of September 30, 2021, there were approximately 1,413,615 shares available for future grants under the 2021 Plan.</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2020 Plan, under which grants ceased upon approval of the 2021 Plan, authorized the issuance of up to 1,500,000 common shares in connection with awards of stock options, stock appreciation rights, restricted stock, restricted stock units, performance-based full value awards or other stock-based awards. Eligible participants included our employees, our affiliates, non-employee directors of our Company and any consultant or advisor who is a natural person and provided services to us or our affiliates. Options that have been granted under the 2020 Plan typically vested over a four-year period and expired if unexercised after seven years from the date of grant. Restricted stock unit awards ("RSUs") that were granted to directors typically vested in one year. RSUs that were granted to executives and employees typically vested in January over a four-year period. Awards may no longer be granted under the 2020 Plan as grants ceased upon approval of the 2021 Plan effective January 29, 2021 at the Annual Meeting of Stockholders. The exercise price of options and the grant date price of restricted stock units was determined by our Compensation Committee but could be less than the fair market value of our common stock based on the closing price on the date of grant.</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received from the exercise of stock options was $8.5 million, $5.9 million and $4.9 million for the twelve months ended September 30, 2021, 2020 and 2019, respectively.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equity plans and corresponding forms of award agreements generally have provisions allowing employees to elect to satisfy tax withholding obligations through the delivery of shares, having us retain a portion of shares issuable under the award or paying cash to us for the withholding. During fiscal 2021, 2020 and 2019 our employees forfeited 116,195, 103,492 and 93,128 shares, respectively in order to satisfy $2.1 million, $1.8 million and $1.1 million, respectively, of withholding tax obligations related to stock-based compensation, pursuant to terms of awards under our board and shareholder-approved compensation plans.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sponsor an Employee Stock Purchase Plan, as amended and restated as of December 10, 2019, October 29, 2013, December 4, 2009 and November 27, 2006 (the "Purchase Plan"), covering all domestic employees with at least 90 days of continuous service and who are customarily employed at least 20 hours per week. The Purchase Plan allows eligible participants the right to purchase common stock on a quarterly basis at the lower of 85% of the market price at the beginning or end of each three-month offering period. The most recent amendments to the Purchase Plan, ratified by our stockholders on January 29, 2020, increased the total number of shares to 3,425,000 that may be purchased under the plan. Employee contributions to the Purchase Plan were $1.2 million, $1.1 million and $1.1 million in fiscal 2021, 2020 and 2019, respectively. Pursuant to the Purchase Plan, 78,644, 117,826, and 111,036 shares of common stock were issued to employees during fiscal 2021, 2020 and 2019, respectively. Shares are issued under the Purchase Plan from treasury stock. As of September 30, 2021, 633,070 shares of common stock were available for future issuances under the Purchase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included in the consolidated results of operations as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r>
      <w:tr>
        <w:trPr>
          <w:trHeight w:val="223"/>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 after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a summary of our stock options as of September 30, 2021 and changes during the twelve months then ended (in thousands, except per common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Options</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w w:val="96"/>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Contractual Term (in</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7"/>
              </w:rPr>
              <w:t>Intrinsic Value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Exercised Price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years)</w:t>
            </w:r>
          </w:p>
        </w:tc>
        <w:tc>
          <w:tcPr>
            <w:tcW w:w="16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280" w:hanging="332"/>
        <w:spacing w:after="0" w:line="277" w:lineRule="auto"/>
        <w:tabs>
          <w:tab w:leader="none" w:pos="2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based on our closing stock price of $21.02 as of September 30, 2021, which would have been received by the option holders had all option holders exercised their options as of that date.</w:t>
      </w:r>
    </w:p>
    <w:p>
      <w:pPr>
        <w:spacing w:after="0" w:line="14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intrinsic value of an option is the amount by which the fair value of the underlying stock exceeds its exercise price. The total intrinsic value of all options exercised during each of the twelve months ended September 30, 2021, 2020 and 2019 was $6.5 million, $3.7 million and $2.1 million, respectively.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weighted average fair value, which was determined based upon the fair value of each option on the grant date utilizing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and the related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6"/>
              </w:rPr>
              <w:t>Year ended September 30,</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184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per option grant date fair value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Assumptions used for option grants: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free interest rate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0.51% - 1.035%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1.60% - 2.93%</w:t>
            </w:r>
          </w:p>
        </w:tc>
      </w:tr>
      <w:tr>
        <w:trPr>
          <w:trHeight w:val="229"/>
        </w:trPr>
        <w:tc>
          <w:tcPr>
            <w:tcW w:w="5800" w:type="dxa"/>
            <w:vAlign w:val="bottom"/>
          </w:tcPr>
          <w:p>
            <w:pPr>
              <w:ind w:left="140"/>
              <w:spacing w:after="0"/>
              <w:rPr>
                <w:sz w:val="20"/>
                <w:szCs w:val="20"/>
                <w:color w:val="auto"/>
              </w:rPr>
            </w:pPr>
            <w:r>
              <w:rPr>
                <w:rFonts w:ascii="Arial" w:cs="Arial" w:eastAsia="Arial" w:hAnsi="Arial"/>
                <w:sz w:val="18"/>
                <w:szCs w:val="18"/>
                <w:color w:val="auto"/>
              </w:rPr>
              <w:t>Expected term</w:t>
            </w:r>
          </w:p>
        </w:tc>
        <w:tc>
          <w:tcPr>
            <w:tcW w:w="200" w:type="dxa"/>
            <w:vAlign w:val="bottom"/>
          </w:tcPr>
          <w:p>
            <w:pPr>
              <w:spacing w:after="0"/>
              <w:rPr>
                <w:sz w:val="19"/>
                <w:szCs w:val="19"/>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6.00 years</w:t>
            </w:r>
          </w:p>
        </w:tc>
        <w:tc>
          <w:tcPr>
            <w:tcW w:w="120" w:type="dxa"/>
            <w:vAlign w:val="bottom"/>
          </w:tcPr>
          <w:p>
            <w:pPr>
              <w:spacing w:after="0"/>
              <w:rPr>
                <w:sz w:val="19"/>
                <w:szCs w:val="19"/>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6.00 years</w:t>
            </w:r>
          </w:p>
        </w:tc>
        <w:tc>
          <w:tcPr>
            <w:tcW w:w="20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6.00 years</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44% - 46%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33% - 35%</w:t>
            </w: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Weighted average volatility</w:t>
            </w: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color w:val="auto"/>
                <w:w w:val="88"/>
              </w:rPr>
              <w:t>45%</w:t>
            </w:r>
          </w:p>
        </w:tc>
        <w:tc>
          <w:tcPr>
            <w:tcW w:w="1840" w:type="dxa"/>
            <w:vAlign w:val="bottom"/>
            <w:gridSpan w:val="3"/>
          </w:tcPr>
          <w:p>
            <w:pPr>
              <w:jc w:val="center"/>
              <w:ind w:left="30"/>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color w:val="auto"/>
                <w:w w:val="88"/>
              </w:rPr>
              <w:t>34%</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0%</w:t>
            </w:r>
          </w:p>
        </w:tc>
        <w:tc>
          <w:tcPr>
            <w:tcW w:w="18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0%</w:t>
            </w:r>
          </w:p>
        </w:tc>
      </w:tr>
    </w:tbl>
    <w:p>
      <w:pPr>
        <w:spacing w:after="0" w:line="16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3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of September 30, 2021, the total unrecognized compensation cost related to non-vested stock-based compensation arrangements, net of expected forfeitures, was $5.7 million. The related weighted average period over which this cost is expected to be recognized was approximately 1.8 years.</w:t>
      </w:r>
    </w:p>
    <w:p>
      <w:pPr>
        <w:spacing w:after="0" w:line="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2021, the weighted average exercise price and remaining life of the stock options were (in thousands, except remaining life and exercise price):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Options Outstanding</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20"/>
              <w:spacing w:after="0" w:line="169" w:lineRule="exact"/>
              <w:rPr>
                <w:sz w:val="20"/>
                <w:szCs w:val="20"/>
                <w:color w:val="auto"/>
              </w:rPr>
            </w:pPr>
            <w:r>
              <w:rPr>
                <w:rFonts w:ascii="Arial" w:cs="Arial" w:eastAsia="Arial" w:hAnsi="Arial"/>
                <w:sz w:val="18"/>
                <w:szCs w:val="18"/>
                <w:color w:val="auto"/>
                <w:w w:val="90"/>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Remaining</w:t>
            </w: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Number of Shares</w:t>
            </w:r>
          </w:p>
        </w:tc>
        <w:tc>
          <w:tcPr>
            <w:tcW w:w="100" w:type="dxa"/>
            <w:vAlign w:val="bottom"/>
          </w:tcPr>
          <w:p>
            <w:pPr>
              <w:spacing w:after="0"/>
              <w:rPr>
                <w:sz w:val="15"/>
                <w:szCs w:val="15"/>
                <w:color w:val="auto"/>
              </w:rPr>
            </w:pPr>
          </w:p>
        </w:tc>
        <w:tc>
          <w:tcPr>
            <w:tcW w:w="15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5"/>
              </w:rPr>
              <w:t>Weighted Average</w:t>
            </w:r>
          </w:p>
        </w:tc>
        <w:tc>
          <w:tcPr>
            <w:tcW w:w="0" w:type="dxa"/>
            <w:vAlign w:val="bottom"/>
          </w:tcPr>
          <w:p>
            <w:pPr>
              <w:spacing w:after="0"/>
              <w:rPr>
                <w:sz w:val="1"/>
                <w:szCs w:val="1"/>
                <w:color w:val="auto"/>
              </w:rPr>
            </w:pPr>
          </w:p>
        </w:tc>
      </w:tr>
      <w:tr>
        <w:trPr>
          <w:trHeight w:val="175"/>
        </w:trPr>
        <w:tc>
          <w:tcPr>
            <w:tcW w:w="2700" w:type="dxa"/>
            <w:vAlign w:val="bottom"/>
            <w:gridSpan w:val="3"/>
            <w:vMerge w:val="restart"/>
          </w:tcPr>
          <w:p>
            <w:pPr>
              <w:ind w:left="400"/>
              <w:spacing w:after="0"/>
              <w:rPr>
                <w:sz w:val="20"/>
                <w:szCs w:val="20"/>
                <w:color w:val="auto"/>
              </w:rPr>
            </w:pPr>
            <w:r>
              <w:rPr>
                <w:rFonts w:ascii="Arial" w:cs="Arial" w:eastAsia="Arial" w:hAnsi="Arial"/>
                <w:sz w:val="18"/>
                <w:szCs w:val="18"/>
                <w:color w:val="auto"/>
              </w:rPr>
              <w:t>Range of Exercise Prices</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Contractual Life (In</w:t>
            </w:r>
          </w:p>
        </w:tc>
        <w:tc>
          <w:tcPr>
            <w:tcW w:w="1620" w:type="dxa"/>
            <w:vAlign w:val="bottom"/>
            <w:gridSpan w:val="3"/>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gridSpan w:val="3"/>
            <w:vMerge w:val="continue"/>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Years)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Exercise Price</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Vested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w w:val="93"/>
              </w:rPr>
              <w:t>Exercise Price</w:t>
            </w:r>
          </w:p>
        </w:tc>
        <w:tc>
          <w:tcPr>
            <w:tcW w:w="0" w:type="dxa"/>
            <w:vAlign w:val="bottom"/>
          </w:tcPr>
          <w:p>
            <w:pPr>
              <w:spacing w:after="0"/>
              <w:rPr>
                <w:sz w:val="1"/>
                <w:szCs w:val="1"/>
                <w:color w:val="auto"/>
              </w:rPr>
            </w:pPr>
          </w:p>
        </w:tc>
      </w:tr>
      <w:tr>
        <w:trPr>
          <w:trHeight w:val="223"/>
        </w:trPr>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$7.40</w:t>
            </w:r>
          </w:p>
        </w:tc>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$9.35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w w:val="93"/>
              </w:rPr>
              <w:t>$9.70</w:t>
            </w:r>
          </w:p>
        </w:tc>
        <w:tc>
          <w:tcPr>
            <w:tcW w:w="2120" w:type="dxa"/>
            <w:vAlign w:val="bottom"/>
          </w:tcPr>
          <w:p>
            <w:pPr>
              <w:ind w:left="20"/>
              <w:spacing w:after="0"/>
              <w:rPr>
                <w:sz w:val="20"/>
                <w:szCs w:val="20"/>
                <w:color w:val="auto"/>
              </w:rPr>
            </w:pPr>
            <w:r>
              <w:rPr>
                <w:rFonts w:ascii="Arial" w:cs="Arial" w:eastAsia="Arial" w:hAnsi="Arial"/>
                <w:sz w:val="18"/>
                <w:szCs w:val="18"/>
                <w:color w:val="auto"/>
              </w:rPr>
              <w:t>- $10.81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2.00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$10.96 - $11.87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5"/>
              </w:rPr>
              <w:t>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$12.48 - $13.50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414</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2.15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$13.76 - $16.75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5"/>
              </w:rPr>
              <w:t>5.64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$17.10 - $17.94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593</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5.53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$18.20 - $25.15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5"/>
              </w:rPr>
              <w:t>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3"/>
        </w:trPr>
        <w:tc>
          <w:tcPr>
            <w:tcW w:w="460" w:type="dxa"/>
            <w:vAlign w:val="bottom"/>
          </w:tcPr>
          <w:p>
            <w:pPr>
              <w:ind w:left="20"/>
              <w:spacing w:after="0"/>
              <w:rPr>
                <w:sz w:val="20"/>
                <w:szCs w:val="20"/>
                <w:color w:val="auto"/>
              </w:rPr>
            </w:pPr>
            <w:r>
              <w:rPr>
                <w:rFonts w:ascii="Arial" w:cs="Arial" w:eastAsia="Arial" w:hAnsi="Arial"/>
                <w:sz w:val="18"/>
                <w:szCs w:val="18"/>
                <w:color w:val="auto"/>
                <w:w w:val="93"/>
              </w:rPr>
              <w:t>$7.40</w:t>
            </w:r>
          </w:p>
        </w:tc>
        <w:tc>
          <w:tcPr>
            <w:tcW w:w="2120" w:type="dxa"/>
            <w:vAlign w:val="bottom"/>
          </w:tcPr>
          <w:p>
            <w:pPr>
              <w:ind w:left="20"/>
              <w:spacing w:after="0"/>
              <w:rPr>
                <w:sz w:val="20"/>
                <w:szCs w:val="20"/>
                <w:color w:val="auto"/>
              </w:rPr>
            </w:pPr>
            <w:r>
              <w:rPr>
                <w:rFonts w:ascii="Arial" w:cs="Arial" w:eastAsia="Arial" w:hAnsi="Arial"/>
                <w:sz w:val="18"/>
                <w:szCs w:val="18"/>
                <w:color w:val="auto"/>
              </w:rPr>
              <w:t>- $25.15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3.57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total grant date fair value of shares vested was $2.6 million, $3.7 million and $3.5 million in each of fiscal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Stock Units</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a summary of our non-vested restricted stock units as of September 30, 2021 and changes during the twelve months then ended (in thousands, except per common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RSUs</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290"/>
              <w:spacing w:after="0"/>
              <w:rPr>
                <w:sz w:val="20"/>
                <w:szCs w:val="20"/>
                <w:color w:val="auto"/>
              </w:rPr>
            </w:pPr>
            <w:r>
              <w:rPr>
                <w:rFonts w:ascii="Arial" w:cs="Arial" w:eastAsia="Arial" w:hAnsi="Arial"/>
                <w:sz w:val="18"/>
                <w:szCs w:val="18"/>
                <w:color w:val="auto"/>
              </w:rPr>
              <w:t>PSUs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Weighted Average</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90"/>
              </w:rPr>
              <w:t>Weighted Average</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w w:val="95"/>
              </w:rPr>
              <w:t>Number of 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0"/>
              </w:rPr>
              <w:t>Grant Date Fair</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Awards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Grant Date Fair</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6"/>
              </w:rPr>
              <w:t>972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center"/>
              <w:ind w:left="1010"/>
              <w:spacing w:after="0"/>
              <w:rPr>
                <w:sz w:val="20"/>
                <w:szCs w:val="20"/>
                <w:color w:val="auto"/>
              </w:rPr>
            </w:pPr>
            <w:r>
              <w:rPr>
                <w:rFonts w:ascii="Arial" w:cs="Arial" w:eastAsia="Arial" w:hAnsi="Arial"/>
                <w:sz w:val="18"/>
                <w:szCs w:val="18"/>
                <w:color w:val="auto"/>
                <w:w w:val="86"/>
              </w:rPr>
              <w:t>366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0"/>
              </w:rPr>
              <w:t>(373)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0"/>
              </w:rPr>
              <w:t>(153)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6"/>
              </w:rPr>
              <w:t>812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2021, the total unrecognized compensation cost related to non-vested restricted stock units was $9.2 million. The related weighted average period over which this cost is expected to be recognized was approximately 1.3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15. EMPLOYEE BENEFIT PLANS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have a savings and profit sharing plan pursuant to Section 401(k) of the Internal Revenue Code (the Code), whereby eligible employees may contribute up to 25% of their pre-tax earnings subject to certain limits under law.</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provide a match of 100% on the first 3% of each employee’s bi-weekly contribution and a 50% match on the next 2% of each employee’s bi-weekly contribution. The employer matching contribution was reinstated for all employees after a suspension effective May 3, 2020 and ending on December 31, 2020 in the United States and Canada. We provided matching contributions of $2.4 million for fiscal 2021, $1.7 million for fiscal 2020 and $1.8 million for fiscal 2019. In addition, we may make contributions to the plan at the discretion of the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16.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lease certain of our buildings and equipment under noncancelable lease agreements. Please refer to </w:t>
      </w:r>
      <w:hyperlink w:anchor="page62">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November 2018, DimOnOff Inc., a company headquartered in Quebec City, Quebec, Canada ("DimOnOff"), which sells control systems in the building automation and street lighting markets sued us and a former distributor from whom DimOnOff purchased certain Digi products. The suit was brought in the Superior Court of the Province of Quebec in the District of Quebec (Canada) and alleges certain Digi products it purchased and incorporated into street lighting systems in a Canadian city were defective causing some of the street lights to malfunction. It alleged damages of just over CAD 1.0 million. During the second quarter of fiscal 2021, the lawsuit was settled and no payment will be made by us. However, we will be providing DimOnOff reduced product pricing on a limited number of products for an amount substantially lower than what was claimed in the lawsuit.</w:t>
      </w:r>
    </w:p>
    <w:p>
      <w:pPr>
        <w:spacing w:after="0" w:line="13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addition to the matter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17. SUBSEQUENT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Ventus Holdings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1, 2021, we acquired Ventus Networks, LLC for approximately $348 million in cash. Ventus is a privately-held leader in MNaaS solutions that simplify the complexity of enterprise WAN connectivity. The acquisition was funded through a combination of cash on hand and debt financing under a $350 million credit facility committed by BMO Harris Bank N.A. Due to the timing of the acquisition, preliminary purchase price allocation has not yet been completed.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Senior Secured Credit Facility</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November 1, 2021, Digi entered into a second amended and restated credit agreement consisting of a $350 million term loan B secured loan and a $35 million revolving credit facility. The $35 million revolving credit facility, which presently has no outstanding balance, includes a $10 million letter of credit subfacility and $10 million swingline subfacility. Amounts under the term loan will be repaid in quarterly installments on the last day of each fiscal quarter, with an annual amortization rate of 1%. The remaining outstanding balance is due to be repaid in full after seven years.</w:t>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Borrowings under this credit facility bear a variable interest rate of LIBOR plus an applicable margin spread from 3.75% to 4.00%. The amount of the applicable margin spread is a function of our leverage ratio and is reset monthly. In addition to paying interest on the outstanding balance under the credit facility, we are required to pay a commitment fee on the non-utilized commitments thereunder which is also reported in interest expense.</w:t>
      </w:r>
    </w:p>
    <w:p>
      <w:pPr>
        <w:spacing w:after="0" w:line="1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on the Loan,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Term Loan contains some affirmative covenants and the Revolving Credit Facility contains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could adversely affect our business.</w:t>
      </w:r>
    </w:p>
    <w:p>
      <w:pPr>
        <w:spacing w:after="0" w:line="127" w:lineRule="exact"/>
        <w:rPr>
          <w:sz w:val="20"/>
          <w:szCs w:val="20"/>
          <w:color w:val="auto"/>
        </w:rPr>
      </w:pPr>
    </w:p>
    <w:p>
      <w:pPr>
        <w:ind w:right="1040"/>
        <w:spacing w:after="0" w:line="46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This Annual Report on Form 10-K includes the certifications attached as Exhibit 31.A and Exhibit 31.B of our Chief Executive Officer and Chief Financial Officer required by Rule 13a-14 of the Securities Exchange Act of 1934, as amended (the "Exchange Act"). This Item 9A includes information concerning the controls and control evaluations referred to in those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evaluated the design and operation of our disclosure controls and procedures as of September 30, 2021. Based on their evaluation, the Chief Executive Officer and Chief Financial Officer concluded that, as of September 30, 2021, our disclosure controls and procedures (as defined in Rules 13a-15(e) and 15d - 15(e) under the Security Exchange Act of 1934, as amended) were effective and provide reasonable assurance on the reliability of our financial reporting and the preparation of Digi's financial statements for external purposes in accordance with generally accepted accounting principles.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our consolidated financial statements for external purposes in accordance with generally accepted accounting principles. Management, with the participation of our Chief Executive Officer and Chief Financial Officer, assessed the effectiveness of our internal control over financial reporting as of September 30, 2020.</w:t>
      </w:r>
    </w:p>
    <w:p>
      <w:pPr>
        <w:spacing w:after="0" w:line="14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In making this assessment, management used the framework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Based on this assessment, management concluded that Digi's internal control over financial reporting was effective as of September 30, 2021 based on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COSO.</w:t>
      </w:r>
    </w:p>
    <w:p>
      <w:pPr>
        <w:spacing w:after="0" w:line="1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September 30, 2021 has been audited by Grant Thornton LLP, an independent registered public accounting firm, as stated in their report, which is included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quarterly period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have audited the internal control over financial reporting of Digi International Inc. (a Delaware corporation) and subsidiaries (the “Company”) as of September 30, 2021,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September 30, 2021, based on criteria established in the 2013 Internal Control—Integrated Framework issued by COSO.</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September 30, 2021, and our report dated November 24, 2021 expressed an unqualified opinion on those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Incorporated into this item by reference is the information appearing under the headings "Proposal No. 1 - Election of Directors", "Security Ownership of Principal Stockholders and Management" and, if applicable, "Delinquent Section 16(a) Reports" in our Proxy Statement for our 2022 Annual Meeting of Stockholders we intend to file with the SEC (the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filing this Form 10-K, the following individuals were executive officers of the Registrant: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Name</w:t>
            </w:r>
          </w:p>
        </w:tc>
        <w:tc>
          <w:tcPr>
            <w:tcW w:w="940" w:type="dxa"/>
            <w:vAlign w:val="bottom"/>
            <w:gridSpan w:val="2"/>
          </w:tcPr>
          <w:p>
            <w:pPr>
              <w:jc w:val="center"/>
              <w:ind w:left="550"/>
              <w:spacing w:after="0"/>
              <w:rPr>
                <w:sz w:val="20"/>
                <w:szCs w:val="20"/>
                <w:color w:val="auto"/>
              </w:rPr>
            </w:pPr>
            <w:r>
              <w:rPr>
                <w:rFonts w:ascii="Arial" w:cs="Arial" w:eastAsia="Arial" w:hAnsi="Arial"/>
                <w:sz w:val="18"/>
                <w:szCs w:val="18"/>
                <w:color w:val="auto"/>
                <w:w w:val="93"/>
              </w:rPr>
              <w:t>Age</w:t>
            </w:r>
          </w:p>
        </w:tc>
        <w:tc>
          <w:tcPr>
            <w:tcW w:w="4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Position</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E. Konezny</w:t>
            </w:r>
          </w:p>
        </w:tc>
        <w:tc>
          <w:tcPr>
            <w:tcW w:w="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9"/>
              </w:rPr>
              <w:t>53</w:t>
            </w:r>
          </w:p>
        </w:tc>
        <w:tc>
          <w:tcPr>
            <w:tcW w:w="4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James J. Loch</w:t>
            </w:r>
          </w:p>
        </w:tc>
        <w:tc>
          <w:tcPr>
            <w:tcW w:w="94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49</w:t>
            </w:r>
          </w:p>
        </w:tc>
        <w:tc>
          <w:tcPr>
            <w:tcW w:w="4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30"/>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C. Riley</w:t>
            </w:r>
          </w:p>
        </w:tc>
        <w:tc>
          <w:tcPr>
            <w:tcW w:w="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9"/>
              </w:rPr>
              <w:t>60</w:t>
            </w:r>
          </w:p>
        </w:tc>
        <w:tc>
          <w:tcPr>
            <w:tcW w:w="4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IoT Solutions</w:t>
            </w:r>
          </w:p>
        </w:tc>
      </w:tr>
      <w:tr>
        <w:trPr>
          <w:trHeight w:val="229"/>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Tracy L. Roberts</w:t>
            </w:r>
          </w:p>
        </w:tc>
        <w:tc>
          <w:tcPr>
            <w:tcW w:w="94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59</w:t>
            </w:r>
          </w:p>
        </w:tc>
        <w:tc>
          <w:tcPr>
            <w:tcW w:w="4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Vice President of Technology Services</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Sampsell</w:t>
            </w:r>
          </w:p>
        </w:tc>
        <w:tc>
          <w:tcPr>
            <w:tcW w:w="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9"/>
              </w:rPr>
              <w:t>53</w:t>
            </w:r>
          </w:p>
        </w:tc>
        <w:tc>
          <w:tcPr>
            <w:tcW w:w="4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of Corporate Development, General Counsel and Corporate Secretary</w:t>
            </w:r>
          </w:p>
        </w:tc>
      </w:tr>
      <w:tr>
        <w:trPr>
          <w:trHeight w:val="230"/>
        </w:trPr>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Terrence G. Schneider</w:t>
            </w:r>
          </w:p>
        </w:tc>
        <w:tc>
          <w:tcPr>
            <w:tcW w:w="94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55</w:t>
            </w:r>
          </w:p>
        </w:tc>
        <w:tc>
          <w:tcPr>
            <w:tcW w:w="4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Vice President Supply Chain Management</w:t>
            </w:r>
          </w:p>
        </w:tc>
      </w:tr>
    </w:tbl>
    <w:p>
      <w:pPr>
        <w:spacing w:after="0" w:line="16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Ronald E. Konezny has served as a member of our Board of Directors and as our President and Chief Executive Officer since December 2014. From 2013 to December 2014, he served as Vice President, Global Transportation and Logistics at Trimble Navigation Limited, a global provider of navigation and range-finding equipment and related solutions. From 2011 to 2013, he served as General Manager of Trimble’s Global Transportation and Logistics division. From 2007 to 2013, he served as Chief Executive Officer of PeopleNet, Inc., a provider of telematics solutions for the transportation industry, which was acquired by Trimble in 2011. Mr. Konezny founded PeopleNet in 1996 and served in various other roles, including Chief Technology Officer, Chief Financial Officer and Chief Operating Officer, before serving as its Chief Executive Officer.</w:t>
      </w:r>
    </w:p>
    <w:p>
      <w:pPr>
        <w:spacing w:after="0" w:line="20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James J. Loch has served as Senior Vice President, Chief Financial Officer and Treasurer since May 2019. Prior to joining us, Mr. Loch most recently served as Senior Vice President of Finance and Chief Financial officer of Nilfisk, Inc., a Denmark-owned company based in Minneapolis that manufactures professional cleaning equipment, from May 2016 to February 2019. From May 2015 to May 2016, he was an independent consultant focused on projects including due diligence, business planning, back office reorganization and product research. Previously, he served at Honeywell Building Solutions, a division of Honeywell International, as Chief Financial Officer (Americas) from 2008 to 2012 and then as Vice President — Sales from 2012 to May 2015.</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Kevin C. Riley has served as President, IoT Solutions since November 2018 and previously served as Senior Vice President and Chief Operating Officer between January 2016 and October 2018 and prior to that he served as Senior Vice President of Global Sales between 2013 and January 2016. Prior to joining us, Mr. Riley served as Senior Vice President - Global Markets for Infor Global Solutions, an enterprise software solutions company, where he led four global business units to profitable growth from 2010 to 2011. He served as Vice President and General Manager at Oracle, an enterprise software company, from 2008 to 2010, and President of Global Knowledge Software from 2002 until Global Knowledge Software's acquisition by Oracle in 2008. He also served as President and Chief Operating Officer for Learn2 Corporation from 1999 to 2002.</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Tracy L. Roberts has served as Vice President of Information Technology since 2005 and Vice President of Technology Services since 2013. She also previously served as Vice President of Human Resources from 2005 until May 2016. Prior to joining us, Ms. Roberts served as Director of Human Resources at Novartis Nutrition Corporation where she was responsible for the medical nutritional business unit. Ms. Roberts held various human resource and marketing positions at Cray Research (now known as Silicon Graphics) from 1983 to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 (CONTINUED)</w:t>
      </w:r>
    </w:p>
    <w:p>
      <w:pPr>
        <w:spacing w:after="0" w:line="20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David H. Sampsell has served as Vice President of Corporate Development, General Counsel and Corporate Secretary since January 2015. He had previously served as Vice President, General Counsel and Corporate Secretary since 2011. Prior to joining us, Mr. Sampsell worked as corporate counsel at ADC Telecommunications, Inc., a supplier of network infrastructure products and services, from 1999 until 2011. Prior to joining ADC, Mr. Sampsell was an attorney in private practice with Leonard, Street and Deinard, P.A. from 1996 to 1999 and Moore &amp; Van Allen, PLLC from 1993 to 1996.</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Terrence G. Schneider has served as Vice President of Supply Chain Management since February 2019. From June 2016 to February 2019, he served as Vice President of Product Management. Prior to joining us, Terry held several senior-level leadership positions at PeopleNet, Inc. from 2009 to 2011 and the transportation and logistics business unit of Trimble Navigation Limited, PeopleNet's parent company from 2012 to June 2016 where he served as Vice President Supply Chain.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Ethics/Code of Conduct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have in place a "code of ethics" within the meaning of Rule 406 of Regulation S-K, which is applicable to our senior financial management, including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principal executive officer, principal financial officer and controller. A copy of this financial code of ethics is available on our 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www.digi.com</w:t>
      </w:r>
      <w:r>
        <w:rPr>
          <w:rFonts w:ascii="Arial" w:cs="Arial" w:eastAsia="Arial" w:hAnsi="Arial"/>
          <w:sz w:val="16"/>
          <w:szCs w:val="16"/>
          <w:color w:val="auto"/>
        </w:rPr>
        <w:t>) under the "Company - Investor Relations - Corporate Governance" caption. We intend to satisfy our disclosure obligations regarding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to, or a waiver from, a provision of this code of ethics by posting such information on the same website. We also have a "code of conduct"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applies to all directors, officers and employees, a copy of which is available through our website (</w:t>
      </w:r>
      <w:r>
        <w:rPr>
          <w:rFonts w:ascii="Arial" w:cs="Arial" w:eastAsia="Arial" w:hAnsi="Arial"/>
          <w:sz w:val="16"/>
          <w:szCs w:val="16"/>
          <w:u w:val="single" w:color="auto"/>
          <w:color w:val="auto"/>
        </w:rPr>
        <w:t>www.digi.com</w:t>
      </w:r>
      <w:r>
        <w:rPr>
          <w:rFonts w:ascii="Arial" w:cs="Arial" w:eastAsia="Arial" w:hAnsi="Arial"/>
          <w:sz w:val="16"/>
          <w:szCs w:val="16"/>
          <w:color w:val="auto"/>
        </w:rPr>
        <w:t>) under the "Company -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Corporate Governance" caption.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Incorporated into this item by reference is the information appearing under the heading "Compensation of Directors," "Executive Compensation," and the information regarding compensation committee interlocks and insider participation under the heading "Proposal No. 1 - Election of Directors" in our Proxy Statement.</w:t>
      </w:r>
    </w:p>
    <w:p>
      <w:pPr>
        <w:spacing w:after="0" w:line="15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Incorporated into this item by reference is the information appearing under the headings "Security Ownership of Principal Stockholders and Management" and "Equity Compensation Plan Information" in our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Incorporated into this item by reference is the information regarding director independence under the heading "Proposal No. 1 - Election of Directors" and the information regarding related person transactions under the heading "Related Person Transaction Approval Policy" on our Proxy Statement.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Incorporated into this item by reference is the information under "Proposal No. 3 - Ratification of Independent Registered Public Accounting Firm" in our Proxy Statement.</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0" w:lineRule="exact"/>
        <w:rPr>
          <w:sz w:val="20"/>
          <w:szCs w:val="20"/>
          <w:color w:val="auto"/>
        </w:rPr>
      </w:pPr>
    </w:p>
    <w:p>
      <w:pPr>
        <w:ind w:left="280" w:hanging="254"/>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Consolidated Financial Statement and Schedules of Digi (filed as part of this Annual Report on Form 10-K)</w:t>
      </w:r>
    </w:p>
    <w:p>
      <w:pPr>
        <w:spacing w:after="0" w:line="23" w:lineRule="exact"/>
        <w:rPr>
          <w:rFonts w:ascii="Arial" w:cs="Arial" w:eastAsia="Arial" w:hAnsi="Arial"/>
          <w:sz w:val="18"/>
          <w:szCs w:val="18"/>
          <w:color w:val="auto"/>
        </w:rPr>
      </w:pPr>
    </w:p>
    <w:p>
      <w:pPr>
        <w:ind w:left="1060" w:right="2220" w:hanging="179"/>
        <w:spacing w:after="0" w:line="266" w:lineRule="auto"/>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ended September 30, 2021, 2020 and 2019 Consolidated Statements of Comprehensive Income for fiscal years ended September 30, 2021, 2020 and 2019 Consolidated Balance Sheets as of September 30, 2021 and 2020</w:t>
      </w:r>
    </w:p>
    <w:p>
      <w:pPr>
        <w:ind w:left="1060" w:right="2400"/>
        <w:spacing w:after="0" w:line="266" w:lineRule="auto"/>
        <w:rPr>
          <w:rFonts w:ascii="Arial" w:cs="Arial" w:eastAsia="Arial" w:hAnsi="Arial"/>
          <w:sz w:val="18"/>
          <w:szCs w:val="18"/>
          <w:color w:val="auto"/>
        </w:rPr>
      </w:pPr>
      <w:r>
        <w:rPr>
          <w:rFonts w:ascii="Arial" w:cs="Arial" w:eastAsia="Arial" w:hAnsi="Arial"/>
          <w:sz w:val="18"/>
          <w:szCs w:val="18"/>
          <w:color w:val="auto"/>
        </w:rPr>
        <w:t>Consolidated Statements of Cash Flows for fiscal years ended September 30, 2021, 2020 and 2019 Consolidated Statements of Stockholders’ Equity for fiscal years ended September 30, 2021, 2020 and 2019 Notes to Consolidated Financial Statements</w:t>
      </w:r>
    </w:p>
    <w:p>
      <w:pPr>
        <w:ind w:left="1060" w:hanging="179"/>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Schedule of Valuation and Qualifying Accounts</w:t>
      </w:r>
    </w:p>
    <w:p>
      <w:pPr>
        <w:spacing w:after="0" w:line="22" w:lineRule="exact"/>
        <w:rPr>
          <w:rFonts w:ascii="Arial" w:cs="Arial" w:eastAsia="Arial" w:hAnsi="Arial"/>
          <w:sz w:val="18"/>
          <w:szCs w:val="18"/>
          <w:color w:val="auto"/>
        </w:rPr>
      </w:pPr>
    </w:p>
    <w:p>
      <w:pPr>
        <w:ind w:left="1060" w:hanging="179"/>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Report of Independent Registered Certified Public Accounting Firm</w:t>
      </w:r>
    </w:p>
    <w:p>
      <w:pPr>
        <w:spacing w:after="0" w:line="129" w:lineRule="exact"/>
        <w:rPr>
          <w:rFonts w:ascii="Arial" w:cs="Arial" w:eastAsia="Arial" w:hAnsi="Arial"/>
          <w:sz w:val="18"/>
          <w:szCs w:val="18"/>
          <w:color w:val="auto"/>
        </w:rPr>
      </w:pPr>
    </w:p>
    <w:p>
      <w:pPr>
        <w:ind w:left="280" w:hanging="254"/>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-1219200</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-927735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2"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SEC file number 1-34033.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7620" w:type="dxa"/>
            <w:vAlign w:val="bottom"/>
            <w:gridSpan w:val="19"/>
          </w:tcPr>
          <w:p>
            <w:pPr>
              <w:spacing w:after="0"/>
              <w:rPr>
                <w:sz w:val="20"/>
                <w:szCs w:val="20"/>
                <w:color w:val="auto"/>
              </w:rPr>
            </w:pPr>
            <w:r>
              <w:rPr>
                <w:rFonts w:ascii="Arial" w:cs="Arial" w:eastAsia="Arial" w:hAnsi="Arial"/>
                <w:sz w:val="18"/>
                <w:szCs w:val="18"/>
                <w:color w:val="auto"/>
              </w:rPr>
              <w:t>Description</w:t>
            </w:r>
          </w:p>
        </w:tc>
        <w:tc>
          <w:tcPr>
            <w:tcW w:w="1720" w:type="dxa"/>
            <w:vAlign w:val="bottom"/>
          </w:tcPr>
          <w:p>
            <w:pPr>
              <w:ind w:left="20"/>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34"/>
        </w:trPr>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Equity Purchase Agreement with Schechter Tech LLC (d/b/a TempAlert LLC) dated as of October 20,</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2017</w:t>
              </w:r>
              <w:r>
                <w:rPr>
                  <w:rFonts w:ascii="Arial" w:cs="Arial" w:eastAsia="Arial" w:hAnsi="Arial"/>
                  <w:sz w:val="18"/>
                  <w:szCs w:val="18"/>
                  <w:color w:val="000000"/>
                </w:rPr>
                <w:t>* (1)</w:t>
              </w:r>
            </w:hyperlink>
          </w:p>
        </w:tc>
        <w:tc>
          <w:tcPr>
            <w:tcW w:w="1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180" w:type="dxa"/>
            <w:vAlign w:val="bottom"/>
            <w:tcBorders>
              <w:top w:val="single" w:sz="8" w:color="0000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8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(b)</w:t>
            </w:r>
          </w:p>
        </w:tc>
        <w:tc>
          <w:tcPr>
            <w:tcW w:w="20" w:type="dxa"/>
            <w:vAlign w:val="bottom"/>
          </w:tcPr>
          <w:p>
            <w:pPr>
              <w:spacing w:after="0"/>
              <w:rPr>
                <w:sz w:val="16"/>
                <w:szCs w:val="16"/>
                <w:color w:val="auto"/>
              </w:rPr>
            </w:pPr>
          </w:p>
        </w:tc>
        <w:tc>
          <w:tcPr>
            <w:tcW w:w="7620" w:type="dxa"/>
            <w:vAlign w:val="bottom"/>
            <w:gridSpan w:val="19"/>
          </w:tcPr>
          <w:p>
            <w:pPr>
              <w:spacing w:after="0" w:line="189" w:lineRule="exact"/>
              <w:rPr>
                <w:rFonts w:ascii="Arial" w:cs="Arial" w:eastAsia="Arial" w:hAnsi="Arial"/>
                <w:sz w:val="18"/>
                <w:szCs w:val="18"/>
                <w:color w:val="0000FF"/>
              </w:rPr>
            </w:pPr>
            <w:hyperlink r:id="rId108">
              <w:r>
                <w:rPr>
                  <w:rFonts w:ascii="Arial" w:cs="Arial" w:eastAsia="Arial" w:hAnsi="Arial"/>
                  <w:sz w:val="18"/>
                  <w:szCs w:val="18"/>
                  <w:color w:val="0000FF"/>
                </w:rPr>
                <w:t>Agreement and Plan of Merger by and among Digi International Inc., Namath Merger Sub. Inc.,</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19"/>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Opengear, Inc. and Shareholder Representative Services LLC, as representative, dated as of November</w:t>
              </w:r>
            </w:hyperlink>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7, 2019</w:t>
              </w:r>
              <w:r>
                <w:rPr>
                  <w:rFonts w:ascii="Arial" w:cs="Arial" w:eastAsia="Arial" w:hAnsi="Arial"/>
                  <w:sz w:val="18"/>
                  <w:szCs w:val="18"/>
                  <w:color w:val="000000"/>
                </w:rPr>
                <w:t>* (2)</w:t>
              </w:r>
            </w:hyperlink>
          </w:p>
        </w:tc>
        <w:tc>
          <w:tcPr>
            <w:tcW w:w="1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(c)</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Purchase Agreement dated as of November 1, 2021 by and among Keith Charette, Steven Glaser, The</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32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Keith R. Charette DE Incomplete – Gift Non-Grantor Trust, Ventus Networks, LLC, Ventus Holdings,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20" w:type="dxa"/>
            <w:vAlign w:val="bottom"/>
            <w:gridSpan w:val="19"/>
            <w:shd w:val="clear" w:color="auto" w:fill="CCEEFF"/>
          </w:tcPr>
          <w:p>
            <w:pPr>
              <w:spacing w:after="0" w:line="156" w:lineRule="exact"/>
              <w:rPr>
                <w:rFonts w:ascii="Arial" w:cs="Arial" w:eastAsia="Arial" w:hAnsi="Arial"/>
                <w:sz w:val="18"/>
                <w:szCs w:val="18"/>
                <w:color w:val="0000FF"/>
                <w:w w:val="94"/>
              </w:rPr>
            </w:pPr>
            <w:hyperlink r:id="rId109">
              <w:r>
                <w:rPr>
                  <w:rFonts w:ascii="Arial" w:cs="Arial" w:eastAsia="Arial" w:hAnsi="Arial"/>
                  <w:sz w:val="18"/>
                  <w:szCs w:val="18"/>
                  <w:color w:val="0000FF"/>
                  <w:w w:val="94"/>
                </w:rPr>
                <w:t>LLC, Ventus IP Holdings, LLC, Ventus Wireless Services, Inc., Ventus Wireless CA, Inc., VClipz, Inc.,</w:t>
              </w:r>
            </w:hyperlink>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and Digi International Inc.</w:t>
              </w:r>
              <w:r>
                <w:rPr>
                  <w:rFonts w:ascii="Arial" w:cs="Arial" w:eastAsia="Arial" w:hAnsi="Arial"/>
                  <w:sz w:val="18"/>
                  <w:szCs w:val="18"/>
                  <w:color w:val="000000"/>
                </w:rPr>
                <w:t>* (3)</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8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(a)</w:t>
            </w:r>
          </w:p>
        </w:tc>
        <w:tc>
          <w:tcPr>
            <w:tcW w:w="20" w:type="dxa"/>
            <w:vAlign w:val="bottom"/>
          </w:tcPr>
          <w:p>
            <w:pPr>
              <w:spacing w:after="0"/>
              <w:rPr>
                <w:sz w:val="15"/>
                <w:szCs w:val="15"/>
                <w:color w:val="auto"/>
              </w:rPr>
            </w:pPr>
          </w:p>
        </w:tc>
        <w:tc>
          <w:tcPr>
            <w:tcW w:w="7620" w:type="dxa"/>
            <w:vAlign w:val="bottom"/>
            <w:gridSpan w:val="19"/>
          </w:tcPr>
          <w:p>
            <w:pPr>
              <w:spacing w:after="0" w:line="176" w:lineRule="exact"/>
              <w:rPr>
                <w:sz w:val="20"/>
                <w:szCs w:val="20"/>
                <w:color w:val="auto"/>
              </w:rPr>
            </w:pPr>
            <w:r>
              <w:rPr>
                <w:rFonts w:ascii="Arial" w:cs="Arial" w:eastAsia="Arial" w:hAnsi="Arial"/>
                <w:sz w:val="18"/>
                <w:szCs w:val="18"/>
                <w:color w:val="auto"/>
              </w:rPr>
              <w:t>Restated Certificate of Incorporation, as amended (4)</w:t>
            </w: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(b)</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rPr>
            </w:pPr>
            <w:hyperlink r:id="rId110">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(5)</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2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20" w:type="dxa"/>
            <w:vAlign w:val="bottom"/>
            <w:gridSpan w:val="19"/>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Description of Securities</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Digi International Inc. Employee Stock Purchase Plan as amended and restated as of December 10,</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2019</w:t>
              </w:r>
              <w:r>
                <w:rPr>
                  <w:rFonts w:ascii="Arial" w:cs="Arial" w:eastAsia="Arial" w:hAnsi="Arial"/>
                  <w:sz w:val="18"/>
                  <w:szCs w:val="18"/>
                  <w:color w:val="000000"/>
                </w:rPr>
                <w:t>** (6)</w:t>
              </w:r>
            </w:hyperlink>
          </w:p>
        </w:tc>
        <w:tc>
          <w:tcPr>
            <w:tcW w:w="1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180" w:type="dxa"/>
            <w:vAlign w:val="bottom"/>
            <w:tcBorders>
              <w:top w:val="single" w:sz="8" w:color="0000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(b)</w:t>
            </w:r>
          </w:p>
        </w:tc>
        <w:tc>
          <w:tcPr>
            <w:tcW w:w="20" w:type="dxa"/>
            <w:vAlign w:val="bottom"/>
          </w:tcPr>
          <w:p>
            <w:pPr>
              <w:spacing w:after="0"/>
              <w:rPr>
                <w:sz w:val="16"/>
                <w:szCs w:val="16"/>
                <w:color w:val="auto"/>
              </w:rPr>
            </w:pPr>
          </w:p>
        </w:tc>
        <w:tc>
          <w:tcPr>
            <w:tcW w:w="7620" w:type="dxa"/>
            <w:vAlign w:val="bottom"/>
            <w:gridSpan w:val="19"/>
          </w:tcPr>
          <w:p>
            <w:pPr>
              <w:spacing w:after="0" w:line="189"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Digi International Inc. 2000 Omnibus Stock Plan, as amended and restated as of December 4, 2009</w:t>
              </w:r>
            </w:hyperlink>
            <w:r>
              <w:rPr>
                <w:rFonts w:ascii="Arial" w:cs="Arial" w:eastAsia="Arial" w:hAnsi="Arial"/>
                <w:sz w:val="18"/>
                <w:szCs w:val="18"/>
                <w:color w:val="000000"/>
                <w:w w:val="94"/>
              </w:rPr>
              <w:t>**</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(b)(i)</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w w:val="96"/>
              </w:rPr>
            </w:pPr>
            <w:hyperlink r:id="rId113">
              <w:r>
                <w:rPr>
                  <w:rFonts w:ascii="Arial" w:cs="Arial" w:eastAsia="Arial" w:hAnsi="Arial"/>
                  <w:sz w:val="18"/>
                  <w:szCs w:val="18"/>
                  <w:color w:val="0000FF"/>
                  <w:w w:val="96"/>
                </w:rPr>
                <w:t xml:space="preserve">Form of Notice of Grant of Stock Options and Option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0000FF"/>
            </w:tcBorders>
            <w:gridSpan w:val="9"/>
            <w:shd w:val="clear" w:color="auto" w:fill="CCEEFF"/>
          </w:tcPr>
          <w:p>
            <w:pPr>
              <w:spacing w:after="0" w:line="196" w:lineRule="exact"/>
              <w:rPr>
                <w:sz w:val="20"/>
                <w:szCs w:val="20"/>
                <w:color w:val="auto"/>
              </w:rPr>
            </w:pPr>
            <w:r>
              <w:rPr>
                <w:rFonts w:ascii="Arial" w:cs="Arial" w:eastAsia="Arial" w:hAnsi="Arial"/>
                <w:sz w:val="18"/>
                <w:szCs w:val="18"/>
                <w:color w:val="auto"/>
                <w:w w:val="95"/>
              </w:rPr>
              <w:t>Inc. 2000 Omnibus Stock Plan before January 26, 2010)** (8)</w:t>
            </w:r>
          </w:p>
        </w:tc>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CCEEFF"/>
            </w:tcBorders>
            <w:gridSpan w:val="8"/>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(b)(ii)</w:t>
            </w:r>
          </w:p>
        </w:tc>
        <w:tc>
          <w:tcPr>
            <w:tcW w:w="20" w:type="dxa"/>
            <w:vAlign w:val="bottom"/>
          </w:tcPr>
          <w:p>
            <w:pPr>
              <w:spacing w:after="0"/>
              <w:rPr>
                <w:sz w:val="16"/>
                <w:szCs w:val="16"/>
                <w:color w:val="auto"/>
              </w:rPr>
            </w:pPr>
          </w:p>
        </w:tc>
        <w:tc>
          <w:tcPr>
            <w:tcW w:w="7620" w:type="dxa"/>
            <w:vAlign w:val="bottom"/>
            <w:gridSpan w:val="19"/>
          </w:tcPr>
          <w:p>
            <w:pPr>
              <w:spacing w:after="0" w:line="189"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 xml:space="preserve">Form of Notice of Grant of Stock Options and Option Agreement </w:t>
              </w:r>
            </w:hyperlink>
            <w:r>
              <w:rPr>
                <w:rFonts w:ascii="Arial" w:cs="Arial" w:eastAsia="Arial" w:hAnsi="Arial"/>
                <w:sz w:val="18"/>
                <w:szCs w:val="18"/>
                <w:color w:val="000000"/>
                <w:w w:val="94"/>
              </w:rPr>
              <w:t>(amended</w:t>
            </w:r>
            <w:r>
              <w:rPr>
                <w:rFonts w:ascii="Arial" w:cs="Arial" w:eastAsia="Arial" w:hAnsi="Arial"/>
                <w:sz w:val="18"/>
                <w:szCs w:val="18"/>
                <w:color w:val="0000FF"/>
                <w:w w:val="94"/>
              </w:rPr>
              <w:t xml:space="preserve"> </w:t>
            </w:r>
            <w:r>
              <w:rPr>
                <w:rFonts w:ascii="Arial" w:cs="Arial" w:eastAsia="Arial" w:hAnsi="Arial"/>
                <w:sz w:val="18"/>
                <w:szCs w:val="18"/>
                <w:color w:val="000000"/>
                <w:w w:val="94"/>
              </w:rPr>
              <w:t>form for grants under Digi</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720" w:type="dxa"/>
            <w:vAlign w:val="bottom"/>
            <w:vMerge w:val="restart"/>
          </w:tcPr>
          <w:p>
            <w:pPr>
              <w:jc w:val="center"/>
              <w:spacing w:after="0" w:line="162"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20" w:type="dxa"/>
            <w:vAlign w:val="bottom"/>
            <w:gridSpan w:val="19"/>
          </w:tcPr>
          <w:p>
            <w:pPr>
              <w:spacing w:after="0" w:line="142" w:lineRule="exact"/>
              <w:rPr>
                <w:sz w:val="20"/>
                <w:szCs w:val="20"/>
                <w:color w:val="auto"/>
              </w:rPr>
            </w:pPr>
            <w:r>
              <w:rPr>
                <w:rFonts w:ascii="Arial" w:cs="Arial" w:eastAsia="Arial" w:hAnsi="Arial"/>
                <w:sz w:val="16"/>
                <w:szCs w:val="16"/>
                <w:color w:val="auto"/>
              </w:rPr>
              <w:t>International Inc. 2000 Omnibus Stock Plan on or after January 26, 2010 provided Addendum 1A</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20" w:type="dxa"/>
            <w:vAlign w:val="bottom"/>
            <w:gridSpan w:val="19"/>
          </w:tcPr>
          <w:p>
            <w:pPr>
              <w:spacing w:after="0"/>
              <w:rPr>
                <w:sz w:val="20"/>
                <w:szCs w:val="20"/>
                <w:color w:val="auto"/>
              </w:rPr>
            </w:pPr>
            <w:r>
              <w:rPr>
                <w:rFonts w:ascii="Arial" w:cs="Arial" w:eastAsia="Arial" w:hAnsi="Arial"/>
                <w:sz w:val="18"/>
                <w:szCs w:val="18"/>
                <w:color w:val="auto"/>
              </w:rPr>
              <w:t>applies only to certain grants made on and after November 22, 2011)** (9)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(c)</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Digi International Inc. 2013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(10)</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2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(c)(i)</w:t>
            </w:r>
          </w:p>
        </w:tc>
        <w:tc>
          <w:tcPr>
            <w:tcW w:w="20" w:type="dxa"/>
            <w:vAlign w:val="bottom"/>
          </w:tcPr>
          <w:p>
            <w:pPr>
              <w:spacing w:after="0"/>
              <w:rPr>
                <w:sz w:val="16"/>
                <w:szCs w:val="16"/>
                <w:color w:val="auto"/>
              </w:rPr>
            </w:pPr>
          </w:p>
        </w:tc>
        <w:tc>
          <w:tcPr>
            <w:tcW w:w="6900" w:type="dxa"/>
            <w:vAlign w:val="bottom"/>
            <w:tcBorders>
              <w:bottom w:val="single" w:sz="8" w:color="0000FF"/>
            </w:tcBorders>
            <w:gridSpan w:val="11"/>
          </w:tcPr>
          <w:p>
            <w:pPr>
              <w:spacing w:after="0" w:line="189"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Form of Notice of Grant of Stock Options and Option Agreement including Addenda to Option</w:t>
              </w:r>
            </w:hyperlink>
          </w:p>
        </w:tc>
        <w:tc>
          <w:tcPr>
            <w:tcW w:w="720" w:type="dxa"/>
            <w:vAlign w:val="bottom"/>
            <w:gridSpan w:val="8"/>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19"/>
          </w:tcPr>
          <w:p>
            <w:pPr>
              <w:spacing w:after="0" w:line="156" w:lineRule="exact"/>
              <w:rPr>
                <w:rFonts w:ascii="Arial" w:cs="Arial" w:eastAsia="Arial" w:hAnsi="Arial"/>
                <w:sz w:val="18"/>
                <w:szCs w:val="18"/>
                <w:color w:val="0000FF"/>
                <w:w w:val="97"/>
              </w:rPr>
            </w:pPr>
            <w:hyperlink r:id="rId116">
              <w:r>
                <w:rPr>
                  <w:rFonts w:ascii="Arial" w:cs="Arial" w:eastAsia="Arial" w:hAnsi="Arial"/>
                  <w:sz w:val="18"/>
                  <w:szCs w:val="18"/>
                  <w:color w:val="0000FF"/>
                  <w:w w:val="97"/>
                </w:rPr>
                <w:t xml:space="preserve">Agreement that may apply to certain grants </w:t>
              </w:r>
              <w:r>
                <w:rPr>
                  <w:rFonts w:ascii="Arial" w:cs="Arial" w:eastAsia="Arial" w:hAnsi="Arial"/>
                  <w:sz w:val="18"/>
                  <w:szCs w:val="18"/>
                  <w:color w:val="000000"/>
                  <w:w w:val="97"/>
                </w:rPr>
                <w:t>(for grants under Digi International Inc. 2013 Omnibus</w:t>
              </w:r>
            </w:hyperlink>
          </w:p>
        </w:tc>
        <w:tc>
          <w:tcPr>
            <w:tcW w:w="1720" w:type="dxa"/>
            <w:vAlign w:val="bottom"/>
          </w:tcPr>
          <w:p>
            <w:pPr>
              <w:jc w:val="center"/>
              <w:spacing w:after="0" w:line="15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auto"/>
              </w:rPr>
              <w:t>Incentive Plan)** (11)</w:t>
            </w:r>
          </w:p>
        </w:tc>
        <w:tc>
          <w:tcPr>
            <w:tcW w:w="1320" w:type="dxa"/>
            <w:vAlign w:val="bottom"/>
            <w:gridSpan w:val="2"/>
          </w:tcPr>
          <w:p>
            <w:pPr>
              <w:spacing w:after="0"/>
              <w:rPr>
                <w:sz w:val="17"/>
                <w:szCs w:val="17"/>
                <w:color w:val="auto"/>
              </w:rPr>
            </w:pPr>
          </w:p>
        </w:tc>
        <w:tc>
          <w:tcPr>
            <w:tcW w:w="3200" w:type="dxa"/>
            <w:vAlign w:val="bottom"/>
            <w:gridSpan w:val="11"/>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(d)</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Digi International Inc. 2014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(12)</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2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(d)(i)</w:t>
            </w:r>
          </w:p>
        </w:tc>
        <w:tc>
          <w:tcPr>
            <w:tcW w:w="20" w:type="dxa"/>
            <w:vAlign w:val="bottom"/>
          </w:tcPr>
          <w:p>
            <w:pPr>
              <w:spacing w:after="0"/>
              <w:rPr>
                <w:sz w:val="16"/>
                <w:szCs w:val="16"/>
                <w:color w:val="auto"/>
              </w:rPr>
            </w:pPr>
          </w:p>
        </w:tc>
        <w:tc>
          <w:tcPr>
            <w:tcW w:w="6900" w:type="dxa"/>
            <w:vAlign w:val="bottom"/>
            <w:tcBorders>
              <w:bottom w:val="single" w:sz="8" w:color="0000FF"/>
            </w:tcBorders>
            <w:gridSpan w:val="11"/>
          </w:tcPr>
          <w:p>
            <w:pPr>
              <w:spacing w:after="0" w:line="18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Form of Notice of Grant of Stock Options and Option Agreement including Addenda to Option</w:t>
              </w:r>
            </w:hyperlink>
          </w:p>
        </w:tc>
        <w:tc>
          <w:tcPr>
            <w:tcW w:w="720" w:type="dxa"/>
            <w:vAlign w:val="bottom"/>
            <w:gridSpan w:val="8"/>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19"/>
          </w:tcPr>
          <w:p>
            <w:pPr>
              <w:spacing w:after="0" w:line="156" w:lineRule="exact"/>
              <w:rPr>
                <w:rFonts w:ascii="Arial" w:cs="Arial" w:eastAsia="Arial" w:hAnsi="Arial"/>
                <w:sz w:val="18"/>
                <w:szCs w:val="18"/>
                <w:color w:val="0000FF"/>
                <w:w w:val="97"/>
              </w:rPr>
            </w:pPr>
            <w:hyperlink r:id="rId118">
              <w:r>
                <w:rPr>
                  <w:rFonts w:ascii="Arial" w:cs="Arial" w:eastAsia="Arial" w:hAnsi="Arial"/>
                  <w:sz w:val="18"/>
                  <w:szCs w:val="18"/>
                  <w:color w:val="0000FF"/>
                  <w:w w:val="97"/>
                </w:rPr>
                <w:t xml:space="preserve">Agreement that may apply to certain grants </w:t>
              </w:r>
              <w:r>
                <w:rPr>
                  <w:rFonts w:ascii="Arial" w:cs="Arial" w:eastAsia="Arial" w:hAnsi="Arial"/>
                  <w:sz w:val="18"/>
                  <w:szCs w:val="18"/>
                  <w:color w:val="000000"/>
                  <w:w w:val="97"/>
                </w:rPr>
                <w:t>(for grants under Digi International Inc. 2014 Omnibus</w:t>
              </w:r>
            </w:hyperlink>
          </w:p>
        </w:tc>
        <w:tc>
          <w:tcPr>
            <w:tcW w:w="1720" w:type="dxa"/>
            <w:vAlign w:val="bottom"/>
          </w:tcPr>
          <w:p>
            <w:pPr>
              <w:jc w:val="center"/>
              <w:spacing w:after="0" w:line="15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auto"/>
              </w:rPr>
              <w:t>Incentive Plan)** (13)</w:t>
            </w:r>
          </w:p>
        </w:tc>
        <w:tc>
          <w:tcPr>
            <w:tcW w:w="1320" w:type="dxa"/>
            <w:vAlign w:val="bottom"/>
            <w:gridSpan w:val="2"/>
          </w:tcPr>
          <w:p>
            <w:pPr>
              <w:spacing w:after="0"/>
              <w:rPr>
                <w:sz w:val="17"/>
                <w:szCs w:val="17"/>
                <w:color w:val="auto"/>
              </w:rPr>
            </w:pPr>
          </w:p>
        </w:tc>
        <w:tc>
          <w:tcPr>
            <w:tcW w:w="3200" w:type="dxa"/>
            <w:vAlign w:val="bottom"/>
            <w:gridSpan w:val="11"/>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(d)(ii)</w:t>
            </w:r>
          </w:p>
        </w:tc>
        <w:tc>
          <w:tcPr>
            <w:tcW w:w="20" w:type="dxa"/>
            <w:vAlign w:val="bottom"/>
            <w:shd w:val="clear" w:color="auto" w:fill="CCEEFF"/>
          </w:tcPr>
          <w:p>
            <w:pPr>
              <w:spacing w:after="0"/>
              <w:rPr>
                <w:sz w:val="16"/>
                <w:szCs w:val="16"/>
                <w:color w:val="auto"/>
              </w:rPr>
            </w:pPr>
          </w:p>
        </w:tc>
        <w:tc>
          <w:tcPr>
            <w:tcW w:w="7620" w:type="dxa"/>
            <w:vAlign w:val="bottom"/>
            <w:gridSpan w:val="19"/>
            <w:shd w:val="clear" w:color="auto" w:fill="CCEEFF"/>
          </w:tcPr>
          <w:p>
            <w:pPr>
              <w:spacing w:after="0" w:line="189"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 xml:space="preserve">Form of (Executive) Restricted Stock Unit Award Agreement </w:t>
              </w:r>
            </w:hyperlink>
            <w:r>
              <w:rPr>
                <w:rFonts w:ascii="Arial" w:cs="Arial" w:eastAsia="Arial" w:hAnsi="Arial"/>
                <w:sz w:val="18"/>
                <w:szCs w:val="18"/>
                <w:color w:val="000000"/>
                <w:w w:val="95"/>
              </w:rPr>
              <w:t>(for</w:t>
            </w:r>
            <w:r>
              <w:rPr>
                <w:rFonts w:ascii="Arial" w:cs="Arial" w:eastAsia="Arial" w:hAnsi="Arial"/>
                <w:sz w:val="18"/>
                <w:szCs w:val="18"/>
                <w:color w:val="0000FF"/>
                <w:w w:val="95"/>
              </w:rPr>
              <w:t xml:space="preserve"> </w:t>
            </w:r>
            <w:r>
              <w:rPr>
                <w:rFonts w:ascii="Arial" w:cs="Arial" w:eastAsia="Arial" w:hAnsi="Arial"/>
                <w:sz w:val="18"/>
                <w:szCs w:val="18"/>
                <w:color w:val="000000"/>
                <w:w w:val="95"/>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0000FF"/>
            </w:tcBorders>
            <w:gridSpan w:val="8"/>
            <w:shd w:val="clear" w:color="auto" w:fill="CCEEFF"/>
          </w:tcPr>
          <w:p>
            <w:pPr>
              <w:spacing w:after="0" w:line="196" w:lineRule="exact"/>
              <w:rPr>
                <w:sz w:val="20"/>
                <w:szCs w:val="20"/>
                <w:color w:val="auto"/>
              </w:rPr>
            </w:pPr>
            <w:r>
              <w:rPr>
                <w:rFonts w:ascii="Arial" w:cs="Arial" w:eastAsia="Arial" w:hAnsi="Arial"/>
                <w:sz w:val="18"/>
                <w:szCs w:val="18"/>
                <w:color w:val="auto"/>
              </w:rPr>
              <w:t>2014 Omnibus Incentive Plan)** (14)</w:t>
            </w:r>
          </w:p>
        </w:tc>
        <w:tc>
          <w:tcPr>
            <w:tcW w:w="3200" w:type="dxa"/>
            <w:vAlign w:val="bottom"/>
            <w:tcBorders>
              <w:top w:val="single" w:sz="8" w:color="CCEEFF"/>
            </w:tcBorders>
            <w:gridSpan w:val="11"/>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904"/>
        </w:trPr>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9"/>
          </w:tcPr>
          <w:p>
            <w:pPr>
              <w:jc w:val="right"/>
              <w:ind w:right="60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88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993"/>
        </w:trPr>
        <w:tc>
          <w:tcPr>
            <w:tcW w:w="9520" w:type="dxa"/>
            <w:vAlign w:val="bottom"/>
            <w:gridSpan w:val="15"/>
          </w:tcPr>
          <w:p>
            <w:pPr>
              <w:spacing w:after="0"/>
              <w:rPr>
                <w:sz w:val="20"/>
                <w:szCs w:val="20"/>
                <w:color w:val="auto"/>
              </w:rPr>
            </w:pPr>
            <w:r>
              <w:rPr>
                <w:rFonts w:ascii="Arial" w:cs="Arial" w:eastAsia="Arial" w:hAnsi="Arial"/>
                <w:sz w:val="18"/>
                <w:szCs w:val="18"/>
                <w:b w:val="1"/>
                <w:bCs w:val="1"/>
                <w:color w:val="auto"/>
              </w:rPr>
              <w:t>ITEM 15. EXHIBITS AND FINANCIAL STATEMENT SCHEDULES (CONTINUED)</w:t>
            </w:r>
          </w:p>
        </w:tc>
        <w:tc>
          <w:tcPr>
            <w:tcW w:w="1720" w:type="dxa"/>
            <w:vAlign w:val="bottom"/>
          </w:tcPr>
          <w:p>
            <w:pPr>
              <w:spacing w:after="0"/>
              <w:rPr>
                <w:sz w:val="24"/>
                <w:szCs w:val="24"/>
                <w:color w:val="auto"/>
              </w:rPr>
            </w:pPr>
          </w:p>
        </w:tc>
      </w:tr>
      <w:tr>
        <w:trPr>
          <w:trHeight w:val="405"/>
        </w:trPr>
        <w:tc>
          <w:tcPr>
            <w:tcW w:w="1880" w:type="dxa"/>
            <w:vAlign w:val="bottom"/>
            <w:gridSpan w:val="4"/>
          </w:tcPr>
          <w:p>
            <w:pPr>
              <w:ind w:left="20"/>
              <w:spacing w:after="0"/>
              <w:rPr>
                <w:sz w:val="20"/>
                <w:szCs w:val="20"/>
                <w:color w:val="auto"/>
              </w:rPr>
            </w:pPr>
            <w:r>
              <w:rPr>
                <w:rFonts w:ascii="Arial" w:cs="Arial" w:eastAsia="Arial" w:hAnsi="Arial"/>
                <w:sz w:val="18"/>
                <w:szCs w:val="18"/>
                <w:color w:val="auto"/>
              </w:rPr>
              <w:t>Exhibit Number</w:t>
            </w:r>
          </w:p>
        </w:tc>
        <w:tc>
          <w:tcPr>
            <w:tcW w:w="7640" w:type="dxa"/>
            <w:vAlign w:val="bottom"/>
            <w:gridSpan w:val="11"/>
          </w:tcPr>
          <w:p>
            <w:pPr>
              <w:spacing w:after="0"/>
              <w:rPr>
                <w:sz w:val="20"/>
                <w:szCs w:val="20"/>
                <w:color w:val="auto"/>
              </w:rPr>
            </w:pPr>
            <w:r>
              <w:rPr>
                <w:rFonts w:ascii="Arial" w:cs="Arial" w:eastAsia="Arial" w:hAnsi="Arial"/>
                <w:sz w:val="18"/>
                <w:szCs w:val="18"/>
                <w:color w:val="auto"/>
              </w:rPr>
              <w:t>Description</w:t>
            </w:r>
          </w:p>
        </w:tc>
        <w:tc>
          <w:tcPr>
            <w:tcW w:w="1720" w:type="dxa"/>
            <w:vAlign w:val="bottom"/>
          </w:tcPr>
          <w:p>
            <w:pPr>
              <w:ind w:left="20"/>
              <w:spacing w:after="0"/>
              <w:rPr>
                <w:sz w:val="20"/>
                <w:szCs w:val="20"/>
                <w:color w:val="auto"/>
              </w:rPr>
            </w:pPr>
            <w:r>
              <w:rPr>
                <w:rFonts w:ascii="Arial" w:cs="Arial" w:eastAsia="Arial" w:hAnsi="Arial"/>
                <w:sz w:val="18"/>
                <w:szCs w:val="18"/>
                <w:color w:val="auto"/>
              </w:rPr>
              <w:t>Method of Filing</w:t>
            </w:r>
          </w:p>
        </w:tc>
      </w:tr>
      <w:tr>
        <w:trPr>
          <w:trHeight w:val="34"/>
        </w:trPr>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(e)</w:t>
            </w:r>
          </w:p>
        </w:tc>
        <w:tc>
          <w:tcPr>
            <w:tcW w:w="7640" w:type="dxa"/>
            <w:vAlign w:val="bottom"/>
            <w:gridSpan w:val="11"/>
            <w:shd w:val="clear" w:color="auto" w:fill="CCEEFF"/>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Digi International Inc. 2016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(15)</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(e)(i)</w:t>
            </w:r>
          </w:p>
        </w:tc>
        <w:tc>
          <w:tcPr>
            <w:tcW w:w="7640" w:type="dxa"/>
            <w:vAlign w:val="bottom"/>
            <w:gridSpan w:val="11"/>
          </w:tcPr>
          <w:p>
            <w:pPr>
              <w:spacing w:after="0" w:line="189"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 xml:space="preserve">Form of (Executive) Restricted Stock Unit Award Agreement </w:t>
              </w:r>
            </w:hyperlink>
            <w:r>
              <w:rPr>
                <w:rFonts w:ascii="Arial" w:cs="Arial" w:eastAsia="Arial" w:hAnsi="Arial"/>
                <w:sz w:val="18"/>
                <w:szCs w:val="18"/>
                <w:color w:val="000000"/>
                <w:w w:val="95"/>
              </w:rPr>
              <w:t>(for</w:t>
            </w:r>
            <w:r>
              <w:rPr>
                <w:rFonts w:ascii="Arial" w:cs="Arial" w:eastAsia="Arial" w:hAnsi="Arial"/>
                <w:sz w:val="18"/>
                <w:szCs w:val="18"/>
                <w:color w:val="0000FF"/>
                <w:w w:val="95"/>
              </w:rPr>
              <w:t xml:space="preserve"> </w:t>
            </w:r>
            <w:r>
              <w:rPr>
                <w:rFonts w:ascii="Arial" w:cs="Arial" w:eastAsia="Arial" w:hAnsi="Arial"/>
                <w:sz w:val="18"/>
                <w:szCs w:val="18"/>
                <w:color w:val="000000"/>
                <w:w w:val="95"/>
              </w:rPr>
              <w:t>awards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auto"/>
              </w:rPr>
              <w:t>2016 Omnibus Incentive Plan)** (16)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(e)(ii)</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 xml:space="preserve">Form of (Employee) Restricted Stock Unit Award Agreement </w:t>
              </w:r>
            </w:hyperlink>
            <w:r>
              <w:rPr>
                <w:rFonts w:ascii="Arial" w:cs="Arial" w:eastAsia="Arial" w:hAnsi="Arial"/>
                <w:sz w:val="18"/>
                <w:szCs w:val="18"/>
                <w:color w:val="000000"/>
                <w:w w:val="95"/>
              </w:rPr>
              <w:t>(for</w:t>
            </w:r>
            <w:r>
              <w:rPr>
                <w:rFonts w:ascii="Arial" w:cs="Arial" w:eastAsia="Arial" w:hAnsi="Arial"/>
                <w:sz w:val="18"/>
                <w:szCs w:val="18"/>
                <w:color w:val="0000FF"/>
                <w:w w:val="95"/>
              </w:rPr>
              <w:t xml:space="preserve"> </w:t>
            </w:r>
            <w:r>
              <w:rPr>
                <w:rFonts w:ascii="Arial" w:cs="Arial" w:eastAsia="Arial" w:hAnsi="Arial"/>
                <w:sz w:val="18"/>
                <w:szCs w:val="18"/>
                <w:color w:val="000000"/>
                <w:w w:val="95"/>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2016 Omnibus Incentive Plan)** (17)</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(e)(iii)</w:t>
            </w:r>
          </w:p>
        </w:tc>
        <w:tc>
          <w:tcPr>
            <w:tcW w:w="7640" w:type="dxa"/>
            <w:vAlign w:val="bottom"/>
            <w:gridSpan w:val="11"/>
          </w:tcPr>
          <w:p>
            <w:pPr>
              <w:spacing w:after="0" w:line="189"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 xml:space="preserve">Form of Notice of Grant of Stock Options and Option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auto"/>
              </w:rPr>
              <w:t>Inc. 2016 Omnibus Incentive Plan)** (18)</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(f)</w:t>
            </w:r>
          </w:p>
        </w:tc>
        <w:tc>
          <w:tcPr>
            <w:tcW w:w="7640" w:type="dxa"/>
            <w:vAlign w:val="bottom"/>
            <w:gridSpan w:val="11"/>
            <w:shd w:val="clear" w:color="auto" w:fill="CCEEFF"/>
          </w:tcPr>
          <w:p>
            <w:pPr>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Digi International Inc. 2017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(19)</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(f)(i)</w:t>
            </w:r>
          </w:p>
        </w:tc>
        <w:tc>
          <w:tcPr>
            <w:tcW w:w="7640" w:type="dxa"/>
            <w:vAlign w:val="bottom"/>
            <w:gridSpan w:val="11"/>
          </w:tcPr>
          <w:p>
            <w:pPr>
              <w:spacing w:after="0" w:line="189" w:lineRule="exact"/>
              <w:rPr>
                <w:rFonts w:ascii="Arial" w:cs="Arial" w:eastAsia="Arial" w:hAnsi="Arial"/>
                <w:sz w:val="18"/>
                <w:szCs w:val="18"/>
                <w:color w:val="0000FF"/>
                <w:w w:val="95"/>
              </w:rPr>
            </w:pPr>
            <w:hyperlink r:id="rId127">
              <w:r>
                <w:rPr>
                  <w:rFonts w:ascii="Arial" w:cs="Arial" w:eastAsia="Arial" w:hAnsi="Arial"/>
                  <w:sz w:val="18"/>
                  <w:szCs w:val="18"/>
                  <w:color w:val="0000FF"/>
                  <w:w w:val="95"/>
                </w:rPr>
                <w:t xml:space="preserve">Form of (Executive) Restricted Stock Unit Award Agreement </w:t>
              </w:r>
            </w:hyperlink>
            <w:r>
              <w:rPr>
                <w:rFonts w:ascii="Arial" w:cs="Arial" w:eastAsia="Arial" w:hAnsi="Arial"/>
                <w:sz w:val="18"/>
                <w:szCs w:val="18"/>
                <w:color w:val="000000"/>
                <w:w w:val="95"/>
              </w:rPr>
              <w:t>(for</w:t>
            </w:r>
            <w:r>
              <w:rPr>
                <w:rFonts w:ascii="Arial" w:cs="Arial" w:eastAsia="Arial" w:hAnsi="Arial"/>
                <w:sz w:val="18"/>
                <w:szCs w:val="18"/>
                <w:color w:val="0000FF"/>
                <w:w w:val="95"/>
              </w:rPr>
              <w:t xml:space="preserve"> </w:t>
            </w:r>
            <w:r>
              <w:rPr>
                <w:rFonts w:ascii="Arial" w:cs="Arial" w:eastAsia="Arial" w:hAnsi="Arial"/>
                <w:sz w:val="18"/>
                <w:szCs w:val="18"/>
                <w:color w:val="000000"/>
                <w:w w:val="95"/>
              </w:rPr>
              <w:t>awards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auto"/>
              </w:rPr>
              <w:t>2017 Omnibus Incentive Plan)** (20)</w:t>
            </w:r>
          </w:p>
        </w:tc>
        <w:tc>
          <w:tcPr>
            <w:tcW w:w="1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(f)(ii)</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 xml:space="preserve">Form of (Employee) Restricted Stock Unit Award Agreement </w:t>
              </w:r>
            </w:hyperlink>
            <w:r>
              <w:rPr>
                <w:rFonts w:ascii="Arial" w:cs="Arial" w:eastAsia="Arial" w:hAnsi="Arial"/>
                <w:sz w:val="18"/>
                <w:szCs w:val="18"/>
                <w:color w:val="000000"/>
                <w:w w:val="95"/>
              </w:rPr>
              <w:t>(for</w:t>
            </w:r>
            <w:r>
              <w:rPr>
                <w:rFonts w:ascii="Arial" w:cs="Arial" w:eastAsia="Arial" w:hAnsi="Arial"/>
                <w:sz w:val="18"/>
                <w:szCs w:val="18"/>
                <w:color w:val="0000FF"/>
                <w:w w:val="95"/>
              </w:rPr>
              <w:t xml:space="preserve"> </w:t>
            </w:r>
            <w:r>
              <w:rPr>
                <w:rFonts w:ascii="Arial" w:cs="Arial" w:eastAsia="Arial" w:hAnsi="Arial"/>
                <w:sz w:val="18"/>
                <w:szCs w:val="18"/>
                <w:color w:val="000000"/>
                <w:w w:val="95"/>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2017 Omnibus Incentive Plan)** (21)</w:t>
            </w:r>
          </w:p>
        </w:tc>
        <w:tc>
          <w:tcPr>
            <w:tcW w:w="1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(f)(iii)</w:t>
            </w:r>
          </w:p>
        </w:tc>
        <w:tc>
          <w:tcPr>
            <w:tcW w:w="7640" w:type="dxa"/>
            <w:vAlign w:val="bottom"/>
            <w:gridSpan w:val="11"/>
          </w:tcPr>
          <w:p>
            <w:pPr>
              <w:spacing w:after="0" w:line="189" w:lineRule="exact"/>
              <w:rPr>
                <w:rFonts w:ascii="Arial" w:cs="Arial" w:eastAsia="Arial" w:hAnsi="Arial"/>
                <w:sz w:val="18"/>
                <w:szCs w:val="18"/>
                <w:color w:val="0000FF"/>
                <w:w w:val="96"/>
              </w:rPr>
            </w:pPr>
            <w:hyperlink r:id="rId129">
              <w:r>
                <w:rPr>
                  <w:rFonts w:ascii="Arial" w:cs="Arial" w:eastAsia="Arial" w:hAnsi="Arial"/>
                  <w:sz w:val="18"/>
                  <w:szCs w:val="18"/>
                  <w:color w:val="0000FF"/>
                  <w:w w:val="96"/>
                </w:rPr>
                <w:t xml:space="preserve">Form of Notice of Grant of Stock Options and Option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auto"/>
              </w:rPr>
              <w:t>Inc. 2017 Omnibus Incentive Plan)** (22)</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(g)</w:t>
            </w:r>
          </w:p>
        </w:tc>
        <w:tc>
          <w:tcPr>
            <w:tcW w:w="7640" w:type="dxa"/>
            <w:vAlign w:val="bottom"/>
            <w:gridSpan w:val="11"/>
            <w:shd w:val="clear" w:color="auto" w:fill="CCEEFF"/>
          </w:tcPr>
          <w:p>
            <w:pPr>
              <w:spacing w:after="0" w:line="189" w:lineRule="exact"/>
              <w:rPr>
                <w:rFonts w:ascii="Arial" w:cs="Arial" w:eastAsia="Arial" w:hAnsi="Arial"/>
                <w:sz w:val="18"/>
                <w:szCs w:val="18"/>
                <w:color w:val="0000FF"/>
              </w:rPr>
            </w:pPr>
            <w:hyperlink r:id="rId130">
              <w:r>
                <w:rPr>
                  <w:rFonts w:ascii="Arial" w:cs="Arial" w:eastAsia="Arial" w:hAnsi="Arial"/>
                  <w:sz w:val="18"/>
                  <w:szCs w:val="18"/>
                  <w:color w:val="0000FF"/>
                </w:rPr>
                <w:t>Digi International Inc. 2018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(23)</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(g)(i)</w:t>
            </w:r>
          </w:p>
        </w:tc>
        <w:tc>
          <w:tcPr>
            <w:tcW w:w="7640" w:type="dxa"/>
            <w:vAlign w:val="bottom"/>
            <w:gridSpan w:val="11"/>
          </w:tcPr>
          <w:p>
            <w:pPr>
              <w:spacing w:after="0" w:line="189" w:lineRule="exact"/>
              <w:rPr>
                <w:rFonts w:ascii="Arial" w:cs="Arial" w:eastAsia="Arial" w:hAnsi="Arial"/>
                <w:sz w:val="18"/>
                <w:szCs w:val="18"/>
                <w:color w:val="0000FF"/>
                <w:w w:val="98"/>
              </w:rPr>
            </w:pPr>
            <w:hyperlink r:id="rId131">
              <w:r>
                <w:rPr>
                  <w:rFonts w:ascii="Arial" w:cs="Arial" w:eastAsia="Arial" w:hAnsi="Arial"/>
                  <w:sz w:val="18"/>
                  <w:szCs w:val="18"/>
                  <w:color w:val="0000FF"/>
                  <w:w w:val="98"/>
                </w:rPr>
                <w:t xml:space="preserve">Form of (Director) Restricted Stock Unit Award Agreement </w:t>
              </w:r>
            </w:hyperlink>
            <w:r>
              <w:rPr>
                <w:rFonts w:ascii="Arial" w:cs="Arial" w:eastAsia="Arial" w:hAnsi="Arial"/>
                <w:sz w:val="18"/>
                <w:szCs w:val="18"/>
                <w:color w:val="000000"/>
                <w:w w:val="98"/>
              </w:rPr>
              <w:t>(for</w:t>
            </w:r>
            <w:r>
              <w:rPr>
                <w:rFonts w:ascii="Arial" w:cs="Arial" w:eastAsia="Arial" w:hAnsi="Arial"/>
                <w:sz w:val="18"/>
                <w:szCs w:val="18"/>
                <w:color w:val="0000FF"/>
                <w:w w:val="98"/>
              </w:rPr>
              <w:t xml:space="preserve"> </w:t>
            </w:r>
            <w:r>
              <w:rPr>
                <w:rFonts w:ascii="Arial" w:cs="Arial" w:eastAsia="Arial" w:hAnsi="Arial"/>
                <w:sz w:val="18"/>
                <w:szCs w:val="18"/>
                <w:color w:val="000000"/>
                <w:w w:val="98"/>
              </w:rPr>
              <w:t>grants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auto"/>
              </w:rPr>
              <w:t>2018 Omnibus Incentive Plan)** (24)</w:t>
            </w:r>
          </w:p>
        </w:tc>
        <w:tc>
          <w:tcPr>
            <w:tcW w:w="13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(g)(ii)</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6"/>
              </w:rPr>
            </w:pPr>
            <w:hyperlink r:id="rId132">
              <w:r>
                <w:rPr>
                  <w:rFonts w:ascii="Arial" w:cs="Arial" w:eastAsia="Arial" w:hAnsi="Arial"/>
                  <w:sz w:val="18"/>
                  <w:szCs w:val="18"/>
                  <w:color w:val="0000FF"/>
                  <w:w w:val="96"/>
                </w:rPr>
                <w:t xml:space="preserve">Form of (Executive) Restricted Stock Unit Award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2018 Omnibus Incentive Plan)** (25)</w:t>
            </w:r>
          </w:p>
        </w:tc>
        <w:tc>
          <w:tcPr>
            <w:tcW w:w="118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(g)(iii)</w:t>
            </w:r>
          </w:p>
        </w:tc>
        <w:tc>
          <w:tcPr>
            <w:tcW w:w="7640" w:type="dxa"/>
            <w:vAlign w:val="bottom"/>
            <w:gridSpan w:val="11"/>
          </w:tcPr>
          <w:p>
            <w:pPr>
              <w:spacing w:after="0" w:line="189"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 xml:space="preserve">Form of (Employee) Restricted Stock Unit Award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auto"/>
              </w:rPr>
              <w:t>2018 Omnibus Incentive Plan)** (26)</w:t>
            </w:r>
          </w:p>
        </w:tc>
        <w:tc>
          <w:tcPr>
            <w:tcW w:w="1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(g)(iv)</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6"/>
              </w:rPr>
            </w:pPr>
            <w:hyperlink r:id="rId134">
              <w:r>
                <w:rPr>
                  <w:rFonts w:ascii="Arial" w:cs="Arial" w:eastAsia="Arial" w:hAnsi="Arial"/>
                  <w:sz w:val="18"/>
                  <w:szCs w:val="18"/>
                  <w:color w:val="0000FF"/>
                  <w:w w:val="96"/>
                </w:rPr>
                <w:t xml:space="preserve">Form of Notice of Grant of Stock Options and Option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720" w:type="dxa"/>
            <w:vAlign w:val="bottom"/>
            <w:tcBorders>
              <w:top w:val="single" w:sz="8" w:color="0000FF"/>
            </w:tcBorders>
            <w:gridSpan w:val="6"/>
            <w:shd w:val="clear" w:color="auto" w:fill="CCEEFF"/>
          </w:tcPr>
          <w:p>
            <w:pPr>
              <w:spacing w:after="0" w:line="196" w:lineRule="exact"/>
              <w:rPr>
                <w:sz w:val="20"/>
                <w:szCs w:val="20"/>
                <w:color w:val="auto"/>
              </w:rPr>
            </w:pPr>
            <w:r>
              <w:rPr>
                <w:rFonts w:ascii="Arial" w:cs="Arial" w:eastAsia="Arial" w:hAnsi="Arial"/>
                <w:sz w:val="18"/>
                <w:szCs w:val="18"/>
                <w:color w:val="auto"/>
              </w:rPr>
              <w:t>Inc. 2018 Omnibus Incentive Plan)** (27)</w:t>
            </w: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(h)</w:t>
            </w:r>
          </w:p>
        </w:tc>
        <w:tc>
          <w:tcPr>
            <w:tcW w:w="7640" w:type="dxa"/>
            <w:vAlign w:val="bottom"/>
            <w:gridSpan w:val="11"/>
          </w:tcPr>
          <w:p>
            <w:pPr>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Digi International Inc. 2019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(28)</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(h)(i)</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8"/>
              </w:rPr>
            </w:pPr>
            <w:hyperlink r:id="rId136">
              <w:r>
                <w:rPr>
                  <w:rFonts w:ascii="Arial" w:cs="Arial" w:eastAsia="Arial" w:hAnsi="Arial"/>
                  <w:sz w:val="18"/>
                  <w:szCs w:val="18"/>
                  <w:color w:val="0000FF"/>
                  <w:w w:val="98"/>
                </w:rPr>
                <w:t xml:space="preserve">Form of (Director) Restricted Stock Unit Award Agreement </w:t>
              </w:r>
            </w:hyperlink>
            <w:r>
              <w:rPr>
                <w:rFonts w:ascii="Arial" w:cs="Arial" w:eastAsia="Arial" w:hAnsi="Arial"/>
                <w:sz w:val="18"/>
                <w:szCs w:val="18"/>
                <w:color w:val="000000"/>
                <w:w w:val="98"/>
              </w:rPr>
              <w:t>(for</w:t>
            </w:r>
            <w:r>
              <w:rPr>
                <w:rFonts w:ascii="Arial" w:cs="Arial" w:eastAsia="Arial" w:hAnsi="Arial"/>
                <w:sz w:val="18"/>
                <w:szCs w:val="18"/>
                <w:color w:val="0000FF"/>
                <w:w w:val="98"/>
              </w:rPr>
              <w:t xml:space="preserve"> </w:t>
            </w:r>
            <w:r>
              <w:rPr>
                <w:rFonts w:ascii="Arial" w:cs="Arial" w:eastAsia="Arial" w:hAnsi="Arial"/>
                <w:sz w:val="18"/>
                <w:szCs w:val="18"/>
                <w:color w:val="000000"/>
                <w:w w:val="98"/>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320" w:type="dxa"/>
            <w:vAlign w:val="bottom"/>
            <w:tcBorders>
              <w:top w:val="single" w:sz="8" w:color="0000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2019 Omnibus Incentive Plan)** (29)</w:t>
            </w:r>
          </w:p>
        </w:tc>
        <w:tc>
          <w:tcPr>
            <w:tcW w:w="1300" w:type="dxa"/>
            <w:vAlign w:val="bottom"/>
            <w:tcBorders>
              <w:top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(h)(ii)</w:t>
            </w:r>
          </w:p>
        </w:tc>
        <w:tc>
          <w:tcPr>
            <w:tcW w:w="7640" w:type="dxa"/>
            <w:vAlign w:val="bottom"/>
            <w:gridSpan w:val="11"/>
          </w:tcPr>
          <w:p>
            <w:pPr>
              <w:spacing w:after="0" w:line="189" w:lineRule="exact"/>
              <w:rPr>
                <w:rFonts w:ascii="Arial" w:cs="Arial" w:eastAsia="Arial" w:hAnsi="Arial"/>
                <w:sz w:val="18"/>
                <w:szCs w:val="18"/>
                <w:color w:val="0000FF"/>
                <w:w w:val="96"/>
              </w:rPr>
            </w:pPr>
            <w:hyperlink r:id="rId137">
              <w:r>
                <w:rPr>
                  <w:rFonts w:ascii="Arial" w:cs="Arial" w:eastAsia="Arial" w:hAnsi="Arial"/>
                  <w:sz w:val="18"/>
                  <w:szCs w:val="18"/>
                  <w:color w:val="0000FF"/>
                  <w:w w:val="96"/>
                </w:rPr>
                <w:t xml:space="preserve">Form of (Executive) Restricted Stock Unit Award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auto"/>
              </w:rPr>
              <w:t>2019 Omnibus Incentive Plan)** (30)</w:t>
            </w:r>
          </w:p>
        </w:tc>
        <w:tc>
          <w:tcPr>
            <w:tcW w:w="1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(h)(iii)</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6"/>
              </w:rPr>
            </w:pPr>
            <w:hyperlink r:id="rId138">
              <w:r>
                <w:rPr>
                  <w:rFonts w:ascii="Arial" w:cs="Arial" w:eastAsia="Arial" w:hAnsi="Arial"/>
                  <w:sz w:val="18"/>
                  <w:szCs w:val="18"/>
                  <w:color w:val="0000FF"/>
                  <w:w w:val="96"/>
                </w:rPr>
                <w:t xml:space="preserve">Form of (Employee) Restricted Stock Unit Award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2019 Omnibus Incentive Plan)** (31)</w:t>
            </w:r>
          </w:p>
        </w:tc>
        <w:tc>
          <w:tcPr>
            <w:tcW w:w="1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(h)(iv)</w:t>
            </w:r>
          </w:p>
        </w:tc>
        <w:tc>
          <w:tcPr>
            <w:tcW w:w="7640" w:type="dxa"/>
            <w:vAlign w:val="bottom"/>
            <w:gridSpan w:val="11"/>
          </w:tcPr>
          <w:p>
            <w:pPr>
              <w:spacing w:after="0" w:line="189" w:lineRule="exact"/>
              <w:rPr>
                <w:rFonts w:ascii="Arial" w:cs="Arial" w:eastAsia="Arial" w:hAnsi="Arial"/>
                <w:sz w:val="18"/>
                <w:szCs w:val="18"/>
                <w:color w:val="0000FF"/>
                <w:w w:val="96"/>
              </w:rPr>
            </w:pPr>
            <w:hyperlink r:id="rId139">
              <w:r>
                <w:rPr>
                  <w:rFonts w:ascii="Arial" w:cs="Arial" w:eastAsia="Arial" w:hAnsi="Arial"/>
                  <w:sz w:val="18"/>
                  <w:szCs w:val="18"/>
                  <w:color w:val="0000FF"/>
                  <w:w w:val="96"/>
                </w:rPr>
                <w:t xml:space="preserve">Form of Notice of Grant of Stock Options and Option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auto"/>
              </w:rPr>
              <w:t>Inc. 2019 Omnibus Incentive Plan)** (32)</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(i)</w:t>
            </w:r>
          </w:p>
        </w:tc>
        <w:tc>
          <w:tcPr>
            <w:tcW w:w="7640" w:type="dxa"/>
            <w:vAlign w:val="bottom"/>
            <w:gridSpan w:val="11"/>
            <w:shd w:val="clear" w:color="auto" w:fill="CCEEFF"/>
          </w:tcPr>
          <w:p>
            <w:pPr>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Digi International Inc. 2020 Omnibus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(33)</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(i)(i)</w:t>
            </w:r>
          </w:p>
        </w:tc>
        <w:tc>
          <w:tcPr>
            <w:tcW w:w="7640" w:type="dxa"/>
            <w:vAlign w:val="bottom"/>
            <w:gridSpan w:val="11"/>
          </w:tcPr>
          <w:p>
            <w:pPr>
              <w:spacing w:after="0" w:line="189" w:lineRule="exact"/>
              <w:rPr>
                <w:rFonts w:ascii="Arial" w:cs="Arial" w:eastAsia="Arial" w:hAnsi="Arial"/>
                <w:sz w:val="18"/>
                <w:szCs w:val="18"/>
                <w:color w:val="0000FF"/>
                <w:w w:val="98"/>
              </w:rPr>
            </w:pPr>
            <w:hyperlink r:id="rId141">
              <w:r>
                <w:rPr>
                  <w:rFonts w:ascii="Arial" w:cs="Arial" w:eastAsia="Arial" w:hAnsi="Arial"/>
                  <w:sz w:val="18"/>
                  <w:szCs w:val="18"/>
                  <w:color w:val="0000FF"/>
                  <w:w w:val="98"/>
                </w:rPr>
                <w:t xml:space="preserve">Form of (Director) Restricted Stock Unit Award Agreement </w:t>
              </w:r>
            </w:hyperlink>
            <w:r>
              <w:rPr>
                <w:rFonts w:ascii="Arial" w:cs="Arial" w:eastAsia="Arial" w:hAnsi="Arial"/>
                <w:sz w:val="18"/>
                <w:szCs w:val="18"/>
                <w:color w:val="000000"/>
                <w:w w:val="98"/>
              </w:rPr>
              <w:t>(for</w:t>
            </w:r>
            <w:r>
              <w:rPr>
                <w:rFonts w:ascii="Arial" w:cs="Arial" w:eastAsia="Arial" w:hAnsi="Arial"/>
                <w:sz w:val="18"/>
                <w:szCs w:val="18"/>
                <w:color w:val="0000FF"/>
                <w:w w:val="98"/>
              </w:rPr>
              <w:t xml:space="preserve"> </w:t>
            </w:r>
            <w:r>
              <w:rPr>
                <w:rFonts w:ascii="Arial" w:cs="Arial" w:eastAsia="Arial" w:hAnsi="Arial"/>
                <w:sz w:val="18"/>
                <w:szCs w:val="18"/>
                <w:color w:val="000000"/>
                <w:w w:val="98"/>
              </w:rPr>
              <w:t>grants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auto"/>
              </w:rPr>
              <w:t>2020 Omnibus Incentive Plan)** (34)</w:t>
            </w:r>
          </w:p>
        </w:tc>
        <w:tc>
          <w:tcPr>
            <w:tcW w:w="13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(i)(ii)</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6"/>
              </w:rPr>
            </w:pPr>
            <w:hyperlink r:id="rId142">
              <w:r>
                <w:rPr>
                  <w:rFonts w:ascii="Arial" w:cs="Arial" w:eastAsia="Arial" w:hAnsi="Arial"/>
                  <w:sz w:val="18"/>
                  <w:szCs w:val="18"/>
                  <w:color w:val="0000FF"/>
                  <w:w w:val="96"/>
                </w:rPr>
                <w:t xml:space="preserve">Form of (Executive) Restricted Stock Unit Award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2020 Omnibus Incentive Plan)** (35)</w:t>
            </w:r>
          </w:p>
        </w:tc>
        <w:tc>
          <w:tcPr>
            <w:tcW w:w="118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(i)(iii)</w:t>
            </w:r>
          </w:p>
        </w:tc>
        <w:tc>
          <w:tcPr>
            <w:tcW w:w="7640" w:type="dxa"/>
            <w:vAlign w:val="bottom"/>
            <w:gridSpan w:val="11"/>
          </w:tcPr>
          <w:p>
            <w:pPr>
              <w:spacing w:after="0" w:line="189"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 xml:space="preserve">Form of (Employee) Restricted Stock Unit Award Agreement </w:t>
              </w:r>
            </w:hyperlink>
            <w:r>
              <w:rPr>
                <w:rFonts w:ascii="Arial" w:cs="Arial" w:eastAsia="Arial" w:hAnsi="Arial"/>
                <w:sz w:val="18"/>
                <w:szCs w:val="18"/>
                <w:color w:val="000000"/>
                <w:w w:val="96"/>
              </w:rPr>
              <w:t>(for</w:t>
            </w:r>
            <w:r>
              <w:rPr>
                <w:rFonts w:ascii="Arial" w:cs="Arial" w:eastAsia="Arial" w:hAnsi="Arial"/>
                <w:sz w:val="18"/>
                <w:szCs w:val="18"/>
                <w:color w:val="0000FF"/>
                <w:w w:val="96"/>
              </w:rPr>
              <w:t xml:space="preserve"> </w:t>
            </w:r>
            <w:r>
              <w:rPr>
                <w:rFonts w:ascii="Arial" w:cs="Arial" w:eastAsia="Arial" w:hAnsi="Arial"/>
                <w:sz w:val="18"/>
                <w:szCs w:val="18"/>
                <w:color w:val="000000"/>
                <w:w w:val="96"/>
              </w:rPr>
              <w:t>grants under Digi International Inc.</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auto"/>
              </w:rPr>
              <w:t>2020 Omnibus Incentive Plan)** (36)</w:t>
            </w:r>
          </w:p>
        </w:tc>
        <w:tc>
          <w:tcPr>
            <w:tcW w:w="1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(i)(iv)</w:t>
            </w:r>
          </w:p>
        </w:tc>
        <w:tc>
          <w:tcPr>
            <w:tcW w:w="7640" w:type="dxa"/>
            <w:vAlign w:val="bottom"/>
            <w:gridSpan w:val="11"/>
            <w:shd w:val="clear" w:color="auto" w:fill="CCEEFF"/>
          </w:tcPr>
          <w:p>
            <w:pPr>
              <w:spacing w:after="0" w:line="189" w:lineRule="exact"/>
              <w:rPr>
                <w:rFonts w:ascii="Arial" w:cs="Arial" w:eastAsia="Arial" w:hAnsi="Arial"/>
                <w:sz w:val="18"/>
                <w:szCs w:val="18"/>
                <w:color w:val="0000FF"/>
                <w:w w:val="97"/>
              </w:rPr>
            </w:pPr>
            <w:hyperlink r:id="rId144">
              <w:r>
                <w:rPr>
                  <w:rFonts w:ascii="Arial" w:cs="Arial" w:eastAsia="Arial" w:hAnsi="Arial"/>
                  <w:sz w:val="18"/>
                  <w:szCs w:val="18"/>
                  <w:color w:val="0000FF"/>
                  <w:w w:val="97"/>
                </w:rPr>
                <w:t xml:space="preserve">Form of (Executive) Notice of Grant of Stock Options and Option Agreement </w:t>
              </w:r>
            </w:hyperlink>
            <w:r>
              <w:rPr>
                <w:rFonts w:ascii="Arial" w:cs="Arial" w:eastAsia="Arial" w:hAnsi="Arial"/>
                <w:sz w:val="18"/>
                <w:szCs w:val="18"/>
                <w:color w:val="000000"/>
                <w:w w:val="97"/>
              </w:rPr>
              <w:t>(for</w:t>
            </w:r>
            <w:r>
              <w:rPr>
                <w:rFonts w:ascii="Arial" w:cs="Arial" w:eastAsia="Arial" w:hAnsi="Arial"/>
                <w:sz w:val="18"/>
                <w:szCs w:val="18"/>
                <w:color w:val="0000FF"/>
                <w:w w:val="97"/>
              </w:rPr>
              <w:t xml:space="preserve"> </w:t>
            </w:r>
            <w:r>
              <w:rPr>
                <w:rFonts w:ascii="Arial" w:cs="Arial" w:eastAsia="Arial" w:hAnsi="Arial"/>
                <w:sz w:val="18"/>
                <w:szCs w:val="18"/>
                <w:color w:val="000000"/>
                <w:w w:val="97"/>
              </w:rPr>
              <w:t>grants under Digi</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FF"/>
            </w:tcBorders>
            <w:gridSpan w:val="7"/>
            <w:shd w:val="clear" w:color="auto" w:fill="CCEEFF"/>
          </w:tcPr>
          <w:p>
            <w:pPr>
              <w:spacing w:after="0" w:line="196" w:lineRule="exact"/>
              <w:rPr>
                <w:sz w:val="20"/>
                <w:szCs w:val="20"/>
                <w:color w:val="auto"/>
              </w:rPr>
            </w:pPr>
            <w:r>
              <w:rPr>
                <w:rFonts w:ascii="Arial" w:cs="Arial" w:eastAsia="Arial" w:hAnsi="Arial"/>
                <w:sz w:val="18"/>
                <w:szCs w:val="18"/>
                <w:color w:val="auto"/>
              </w:rPr>
              <w:t>International Inc. 2020 Omnibus Incentive Plan)** (37)</w:t>
            </w: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(i)(v)</w:t>
            </w:r>
          </w:p>
        </w:tc>
        <w:tc>
          <w:tcPr>
            <w:tcW w:w="7640" w:type="dxa"/>
            <w:vAlign w:val="bottom"/>
            <w:gridSpan w:val="11"/>
          </w:tcPr>
          <w:p>
            <w:pPr>
              <w:spacing w:after="0" w:line="189" w:lineRule="exact"/>
              <w:rPr>
                <w:rFonts w:ascii="Arial" w:cs="Arial" w:eastAsia="Arial" w:hAnsi="Arial"/>
                <w:sz w:val="18"/>
                <w:szCs w:val="18"/>
                <w:color w:val="0000FF"/>
                <w:w w:val="97"/>
              </w:rPr>
            </w:pPr>
            <w:hyperlink r:id="rId145">
              <w:r>
                <w:rPr>
                  <w:rFonts w:ascii="Arial" w:cs="Arial" w:eastAsia="Arial" w:hAnsi="Arial"/>
                  <w:sz w:val="18"/>
                  <w:szCs w:val="18"/>
                  <w:color w:val="0000FF"/>
                  <w:w w:val="97"/>
                </w:rPr>
                <w:t xml:space="preserve">Form of (Employee) Notice of Grant of Stock Options and Option Agreement </w:t>
              </w:r>
            </w:hyperlink>
            <w:r>
              <w:rPr>
                <w:rFonts w:ascii="Arial" w:cs="Arial" w:eastAsia="Arial" w:hAnsi="Arial"/>
                <w:sz w:val="18"/>
                <w:szCs w:val="18"/>
                <w:color w:val="000000"/>
                <w:w w:val="97"/>
              </w:rPr>
              <w:t>(for</w:t>
            </w:r>
            <w:r>
              <w:rPr>
                <w:rFonts w:ascii="Arial" w:cs="Arial" w:eastAsia="Arial" w:hAnsi="Arial"/>
                <w:sz w:val="18"/>
                <w:szCs w:val="18"/>
                <w:color w:val="0000FF"/>
                <w:w w:val="97"/>
              </w:rPr>
              <w:t xml:space="preserve"> </w:t>
            </w:r>
            <w:r>
              <w:rPr>
                <w:rFonts w:ascii="Arial" w:cs="Arial" w:eastAsia="Arial" w:hAnsi="Arial"/>
                <w:sz w:val="18"/>
                <w:szCs w:val="18"/>
                <w:color w:val="000000"/>
                <w:w w:val="97"/>
              </w:rPr>
              <w:t>grants under Digi</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4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auto"/>
              </w:rPr>
              <w:t>International Inc. 2020 Omnibus Incentive Plan)** (38)</w:t>
            </w:r>
          </w:p>
        </w:tc>
        <w:tc>
          <w:tcPr>
            <w:tcW w:w="15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Arial" w:cs="Arial" w:eastAsia="Arial" w:hAnsi="Arial"/>
                <w:sz w:val="18"/>
                <w:szCs w:val="18"/>
                <w:color w:val="auto"/>
              </w:rPr>
              <w:t>(j)</w:t>
            </w:r>
          </w:p>
        </w:tc>
        <w:tc>
          <w:tcPr>
            <w:tcW w:w="7640" w:type="dxa"/>
            <w:vAlign w:val="bottom"/>
            <w:gridSpan w:val="11"/>
            <w:shd w:val="clear" w:color="auto" w:fill="CCEEFF"/>
          </w:tcPr>
          <w:p>
            <w:pPr>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Digi International Inc. 2021 Omnibus Incentive Plan</w:t>
              </w:r>
            </w:hyperlink>
            <w:r>
              <w:rPr>
                <w:rFonts w:ascii="Arial" w:cs="Arial" w:eastAsia="Arial" w:hAnsi="Arial"/>
                <w:sz w:val="18"/>
                <w:szCs w:val="18"/>
                <w:color w:val="000000"/>
              </w:rPr>
              <w:t>**(39)</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8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(j)(i)</w:t>
            </w:r>
          </w:p>
        </w:tc>
        <w:tc>
          <w:tcPr>
            <w:tcW w:w="7640" w:type="dxa"/>
            <w:vAlign w:val="bottom"/>
            <w:gridSpan w:val="11"/>
          </w:tcPr>
          <w:p>
            <w:pPr>
              <w:spacing w:after="0" w:line="189"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Form of (Director)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6"/>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2021 Omnibus Incentive Plan)</w:t>
              </w:r>
              <w:r>
                <w:rPr>
                  <w:rFonts w:ascii="Arial" w:cs="Arial" w:eastAsia="Arial" w:hAnsi="Arial"/>
                  <w:sz w:val="18"/>
                  <w:szCs w:val="18"/>
                  <w:color w:val="000000"/>
                </w:rPr>
                <w:t>** (40)</w:t>
              </w:r>
            </w:hyperlink>
          </w:p>
        </w:tc>
        <w:tc>
          <w:tcPr>
            <w:tcW w:w="42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911"/>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Borders>
              <w:top w:val="single" w:sz="8" w:color="0000FF"/>
            </w:tcBorders>
          </w:tcPr>
          <w:p>
            <w:pPr>
              <w:spacing w:after="0"/>
              <w:rPr>
                <w:sz w:val="24"/>
                <w:szCs w:val="24"/>
                <w:color w:val="auto"/>
              </w:rPr>
            </w:pPr>
          </w:p>
        </w:tc>
        <w:tc>
          <w:tcPr>
            <w:tcW w:w="2100" w:type="dxa"/>
            <w:vAlign w:val="bottom"/>
            <w:gridSpan w:val="2"/>
          </w:tcPr>
          <w:p>
            <w:pPr>
              <w:jc w:val="right"/>
              <w:ind w:right="48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88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993"/>
        </w:trPr>
        <w:tc>
          <w:tcPr>
            <w:tcW w:w="9520" w:type="dxa"/>
            <w:vAlign w:val="bottom"/>
            <w:gridSpan w:val="36"/>
          </w:tcPr>
          <w:p>
            <w:pPr>
              <w:spacing w:after="0"/>
              <w:rPr>
                <w:sz w:val="20"/>
                <w:szCs w:val="20"/>
                <w:color w:val="auto"/>
              </w:rPr>
            </w:pPr>
            <w:r>
              <w:rPr>
                <w:rFonts w:ascii="Arial" w:cs="Arial" w:eastAsia="Arial" w:hAnsi="Arial"/>
                <w:sz w:val="18"/>
                <w:szCs w:val="18"/>
                <w:b w:val="1"/>
                <w:bCs w:val="1"/>
                <w:color w:val="auto"/>
              </w:rPr>
              <w:t>ITEM 15. EXHIBITS AND FINANCIAL STATEMENT SCHEDULES (CONTINUED)</w:t>
            </w:r>
          </w:p>
        </w:tc>
        <w:tc>
          <w:tcPr>
            <w:tcW w:w="1720" w:type="dxa"/>
            <w:vAlign w:val="bottom"/>
          </w:tcPr>
          <w:p>
            <w:pPr>
              <w:spacing w:after="0"/>
              <w:rPr>
                <w:sz w:val="24"/>
                <w:szCs w:val="24"/>
                <w:color w:val="auto"/>
              </w:rPr>
            </w:pPr>
          </w:p>
        </w:tc>
      </w:tr>
      <w:tr>
        <w:trPr>
          <w:trHeight w:val="257"/>
        </w:trPr>
        <w:tc>
          <w:tcPr>
            <w:tcW w:w="1880" w:type="dxa"/>
            <w:vAlign w:val="bottom"/>
            <w:gridSpan w:val="4"/>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2"/>
                <w:szCs w:val="22"/>
                <w:color w:val="auto"/>
              </w:rPr>
            </w:pPr>
          </w:p>
        </w:tc>
        <w:tc>
          <w:tcPr>
            <w:tcW w:w="7620" w:type="dxa"/>
            <w:vAlign w:val="bottom"/>
            <w:gridSpan w:val="31"/>
          </w:tcPr>
          <w:p>
            <w:pPr>
              <w:spacing w:after="0"/>
              <w:rPr>
                <w:sz w:val="20"/>
                <w:szCs w:val="20"/>
                <w:color w:val="auto"/>
              </w:rPr>
            </w:pPr>
            <w:r>
              <w:rPr>
                <w:rFonts w:ascii="Arial" w:cs="Arial" w:eastAsia="Arial" w:hAnsi="Arial"/>
                <w:sz w:val="18"/>
                <w:szCs w:val="18"/>
                <w:color w:val="auto"/>
              </w:rPr>
              <w:t>Description</w:t>
            </w:r>
          </w:p>
        </w:tc>
        <w:tc>
          <w:tcPr>
            <w:tcW w:w="1720" w:type="dxa"/>
            <w:vAlign w:val="bottom"/>
          </w:tcPr>
          <w:p>
            <w:pPr>
              <w:ind w:left="20"/>
              <w:spacing w:after="0"/>
              <w:rPr>
                <w:sz w:val="20"/>
                <w:szCs w:val="20"/>
                <w:color w:val="auto"/>
              </w:rPr>
            </w:pPr>
            <w:r>
              <w:rPr>
                <w:rFonts w:ascii="Arial" w:cs="Arial" w:eastAsia="Arial" w:hAnsi="Arial"/>
                <w:sz w:val="18"/>
                <w:szCs w:val="18"/>
                <w:color w:val="auto"/>
              </w:rPr>
              <w:t>Method of Filing</w:t>
            </w:r>
          </w:p>
        </w:tc>
      </w:tr>
      <w:tr>
        <w:trPr>
          <w:trHeight w:val="34"/>
        </w:trPr>
        <w:tc>
          <w:tcPr>
            <w:tcW w:w="10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(j)(ii)</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Form of (Executive) Restricted Stock Unit Award Agreement (for grants under Digi International Inc.</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34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2021 Omnibus Incentive Plan)</w:t>
              </w:r>
              <w:r>
                <w:rPr>
                  <w:rFonts w:ascii="Arial" w:cs="Arial" w:eastAsia="Arial" w:hAnsi="Arial"/>
                  <w:sz w:val="18"/>
                  <w:szCs w:val="18"/>
                  <w:color w:val="000000"/>
                </w:rPr>
                <w:t>** (41)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(j)(iii)</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w w:val="95"/>
              </w:rPr>
            </w:pPr>
            <w:hyperlink r:id="rId151">
              <w:r>
                <w:rPr>
                  <w:rFonts w:ascii="Arial" w:cs="Arial" w:eastAsia="Arial" w:hAnsi="Arial"/>
                  <w:sz w:val="18"/>
                  <w:szCs w:val="18"/>
                  <w:color w:val="0000FF"/>
                  <w:w w:val="95"/>
                </w:rPr>
                <w:t>Form of (Employee)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2021 Omnibus Incentive Plan)</w:t>
              </w:r>
              <w:r>
                <w:rPr>
                  <w:rFonts w:ascii="Arial" w:cs="Arial" w:eastAsia="Arial" w:hAnsi="Arial"/>
                  <w:sz w:val="18"/>
                  <w:szCs w:val="18"/>
                  <w:color w:val="000000"/>
                </w:rPr>
                <w:t>** (42)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21"/>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(j)(iv)</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w w:val="97"/>
              </w:rPr>
            </w:pPr>
            <w:hyperlink r:id="rId152">
              <w:r>
                <w:rPr>
                  <w:rFonts w:ascii="Arial" w:cs="Arial" w:eastAsia="Arial" w:hAnsi="Arial"/>
                  <w:sz w:val="18"/>
                  <w:szCs w:val="18"/>
                  <w:color w:val="0000FF"/>
                  <w:w w:val="97"/>
                </w:rPr>
                <w:t>Form of (Executive) Notice of Grant of Stock Options and Option Agreement (for grants under Digi</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International Inc. 2021 Omnibus Incentive Plan)</w:t>
              </w:r>
              <w:r>
                <w:rPr>
                  <w:rFonts w:ascii="Arial" w:cs="Arial" w:eastAsia="Arial" w:hAnsi="Arial"/>
                  <w:sz w:val="18"/>
                  <w:szCs w:val="18"/>
                  <w:color w:val="000000"/>
                </w:rPr>
                <w:t>** (43)</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(j)(v)</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w w:val="97"/>
              </w:rPr>
            </w:pPr>
            <w:hyperlink r:id="rId153">
              <w:r>
                <w:rPr>
                  <w:rFonts w:ascii="Arial" w:cs="Arial" w:eastAsia="Arial" w:hAnsi="Arial"/>
                  <w:sz w:val="18"/>
                  <w:szCs w:val="18"/>
                  <w:color w:val="0000FF"/>
                  <w:w w:val="97"/>
                </w:rPr>
                <w:t>Form of (Employee) Notice of Grant of Stock Options and Option Agreement (for grants under Digi</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International Inc. 2021 Omnibus Incentive Plan)</w:t>
              </w:r>
              <w:r>
                <w:rPr>
                  <w:rFonts w:ascii="Arial" w:cs="Arial" w:eastAsia="Arial" w:hAnsi="Arial"/>
                  <w:sz w:val="18"/>
                  <w:szCs w:val="18"/>
                  <w:color w:val="000000"/>
                </w:rPr>
                <w:t>** (44)</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21"/>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(j)(vi)</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w w:val="97"/>
              </w:rPr>
            </w:pPr>
            <w:hyperlink r:id="rId154">
              <w:r>
                <w:rPr>
                  <w:rFonts w:ascii="Arial" w:cs="Arial" w:eastAsia="Arial" w:hAnsi="Arial"/>
                  <w:sz w:val="18"/>
                  <w:szCs w:val="18"/>
                  <w:color w:val="0000FF"/>
                  <w:w w:val="97"/>
                </w:rPr>
                <w:t>Form of (Executive) Performance Stock Unit Award Agreement (for grants under Digi International</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18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Inc. 2021 Omnibus Incentive Plan)</w:t>
              </w:r>
              <w:r>
                <w:rPr>
                  <w:rFonts w:ascii="Arial" w:cs="Arial" w:eastAsia="Arial" w:hAnsi="Arial"/>
                  <w:sz w:val="18"/>
                  <w:szCs w:val="18"/>
                  <w:color w:val="000000"/>
                </w:rPr>
                <w:t>** (45)</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(k)</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Form of indemnification agreement with directors and officers of the Company</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(46)</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(l)</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Employment Agreement between the Company and Ronald E. Konezny dated November 26, 2014</w:t>
              </w:r>
            </w:hyperlink>
            <w:r>
              <w:rPr>
                <w:rFonts w:ascii="Arial" w:cs="Arial" w:eastAsia="Arial" w:hAnsi="Arial"/>
                <w:sz w:val="18"/>
                <w:szCs w:val="18"/>
                <w:color w:val="000000"/>
                <w:w w:val="95"/>
              </w:rPr>
              <w:t>**</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auto"/>
              </w:rPr>
              <w:t>(47)</w:t>
            </w:r>
          </w:p>
        </w:tc>
        <w:tc>
          <w:tcPr>
            <w:tcW w:w="4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9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720" w:type="dxa"/>
            <w:vAlign w:val="bottom"/>
            <w:tcBorders>
              <w:top w:val="single" w:sz="8" w:color="0000FF"/>
            </w:tcBorders>
            <w:shd w:val="clear" w:color="auto" w:fill="CCEEFF"/>
          </w:tcPr>
          <w:p>
            <w:pPr>
              <w:spacing w:after="0"/>
              <w:rPr>
                <w:sz w:val="17"/>
                <w:szCs w:val="17"/>
                <w:color w:val="auto"/>
              </w:rPr>
            </w:pPr>
          </w:p>
        </w:tc>
        <w:tc>
          <w:tcPr>
            <w:tcW w:w="13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(m)</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rPr>
            </w:pPr>
            <w:hyperlink r:id="rId157">
              <w:r>
                <w:rPr>
                  <w:rFonts w:ascii="Arial" w:cs="Arial" w:eastAsia="Arial" w:hAnsi="Arial"/>
                  <w:sz w:val="18"/>
                  <w:szCs w:val="18"/>
                  <w:color w:val="0000FF"/>
                </w:rPr>
                <w:t>Offer letter with David H. Sampsell dated as of April 8, 2011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(48)</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(n)</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rPr>
            </w:pPr>
            <w:hyperlink r:id="rId158">
              <w:r>
                <w:rPr>
                  <w:rFonts w:ascii="Arial" w:cs="Arial" w:eastAsia="Arial" w:hAnsi="Arial"/>
                  <w:sz w:val="18"/>
                  <w:szCs w:val="18"/>
                  <w:color w:val="0000FF"/>
                </w:rPr>
                <w:t>Employment Agreement with Kevin C. Riley dated January 23, 2013</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(49)</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9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(o)</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rPr>
            </w:pPr>
            <w:hyperlink r:id="rId159">
              <w:r>
                <w:rPr>
                  <w:rFonts w:ascii="Arial" w:cs="Arial" w:eastAsia="Arial" w:hAnsi="Arial"/>
                  <w:sz w:val="18"/>
                  <w:szCs w:val="18"/>
                  <w:color w:val="0000FF"/>
                </w:rPr>
                <w:t>Offer letter with Michael A. Ueland dated September 27, 2016</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(50)</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(p)</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rPr>
            </w:pPr>
            <w:hyperlink r:id="rId160">
              <w:r>
                <w:rPr>
                  <w:rFonts w:ascii="Arial" w:cs="Arial" w:eastAsia="Arial" w:hAnsi="Arial"/>
                  <w:sz w:val="18"/>
                  <w:szCs w:val="18"/>
                  <w:color w:val="0000FF"/>
                </w:rPr>
                <w:t>Offer letter with Michael A. Ueland dated October 29, 2018</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(51)</w:t>
            </w: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9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(q)</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rPr>
            </w:pPr>
            <w:hyperlink r:id="rId161">
              <w:r>
                <w:rPr>
                  <w:rFonts w:ascii="Arial" w:cs="Arial" w:eastAsia="Arial" w:hAnsi="Arial"/>
                  <w:sz w:val="18"/>
                  <w:szCs w:val="18"/>
                  <w:color w:val="0000FF"/>
                </w:rPr>
                <w:t>Offer letter with James J. Loch dated May 1, 2019</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(52)</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6"/>
              </w:rPr>
              <w:t>Reference</w:t>
            </w: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(r)</w:t>
            </w:r>
          </w:p>
        </w:tc>
        <w:tc>
          <w:tcPr>
            <w:tcW w:w="20" w:type="dxa"/>
            <w:vAlign w:val="bottom"/>
            <w:shd w:val="clear" w:color="auto" w:fill="CCEEFF"/>
          </w:tcPr>
          <w:p>
            <w:pPr>
              <w:spacing w:after="0"/>
              <w:rPr>
                <w:sz w:val="16"/>
                <w:szCs w:val="16"/>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Amended and Restated Credit Agreement dated as of March 15, 2021 with BMO Harris Bank N.A., as</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38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administrative agent and collateral agent, BMO Capital Markets Corp., as joint lead arranger and sole</w:t>
              </w:r>
            </w:hyperlink>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155"/>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320" w:type="dxa"/>
            <w:vAlign w:val="bottom"/>
            <w:tcBorders>
              <w:top w:val="single" w:sz="8" w:color="0000FF"/>
              <w:bottom w:val="single" w:sz="8" w:color="0000FF"/>
            </w:tcBorders>
            <w:gridSpan w:val="25"/>
            <w:shd w:val="clear" w:color="auto" w:fill="CCEEFF"/>
          </w:tcPr>
          <w:p>
            <w:pPr>
              <w:spacing w:after="0" w:line="156" w:lineRule="exact"/>
              <w:rPr>
                <w:rFonts w:ascii="Arial" w:cs="Arial" w:eastAsia="Arial" w:hAnsi="Arial"/>
                <w:sz w:val="18"/>
                <w:szCs w:val="18"/>
                <w:color w:val="0000FF"/>
                <w:w w:val="88"/>
              </w:rPr>
            </w:pPr>
            <w:hyperlink r:id="rId162">
              <w:r>
                <w:rPr>
                  <w:rFonts w:ascii="Arial" w:cs="Arial" w:eastAsia="Arial" w:hAnsi="Arial"/>
                  <w:sz w:val="18"/>
                  <w:szCs w:val="18"/>
                  <w:color w:val="0000FF"/>
                  <w:w w:val="88"/>
                </w:rPr>
                <w:t>bookrunner, and Silicon Valley bank, as joint lead arranger and syndication agent, and the other lenders</w:t>
              </w:r>
            </w:hyperlink>
          </w:p>
        </w:tc>
        <w:tc>
          <w:tcPr>
            <w:tcW w:w="10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20" w:type="dxa"/>
            <w:vAlign w:val="bottom"/>
            <w:gridSpan w:val="29"/>
            <w:shd w:val="clear" w:color="auto" w:fill="CCEEFF"/>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from time to time party thereto</w:t>
              </w:r>
              <w:r>
                <w:rPr>
                  <w:rFonts w:ascii="Arial" w:cs="Arial" w:eastAsia="Arial" w:hAnsi="Arial"/>
                  <w:sz w:val="18"/>
                  <w:szCs w:val="18"/>
                  <w:color w:val="000000"/>
                </w:rPr>
                <w:t>*** (53)</w:t>
              </w:r>
            </w:hyperlink>
          </w:p>
        </w:tc>
        <w:tc>
          <w:tcPr>
            <w:tcW w:w="200" w:type="dxa"/>
            <w:vAlign w:val="bottom"/>
            <w:gridSpan w:val="2"/>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10</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(s)</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Second Amended and Restated Credit Agreement dated as of November 1, 2021, by and among Digi</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1"/>
              </w:rPr>
              <w:t>Incorporated by</w:t>
            </w: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International Inc., as the Borrower, BMO Harris Bank N.A., as administrative agent and collateral</w:t>
              </w:r>
            </w:hyperlink>
          </w:p>
        </w:tc>
        <w:tc>
          <w:tcPr>
            <w:tcW w:w="40" w:type="dxa"/>
            <w:vAlign w:val="bottom"/>
          </w:tcPr>
          <w:p>
            <w:pPr>
              <w:spacing w:after="0"/>
              <w:rPr>
                <w:sz w:val="13"/>
                <w:szCs w:val="13"/>
                <w:color w:val="auto"/>
              </w:rPr>
            </w:pPr>
          </w:p>
        </w:tc>
        <w:tc>
          <w:tcPr>
            <w:tcW w:w="320" w:type="dxa"/>
            <w:vAlign w:val="bottom"/>
            <w:gridSpan w:val="7"/>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Arial" w:cs="Arial" w:eastAsia="Arial" w:hAnsi="Arial"/>
                <w:sz w:val="18"/>
                <w:szCs w:val="18"/>
                <w:color w:val="auto"/>
                <w:w w:val="86"/>
              </w:rPr>
              <w:t>Reference</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31"/>
          </w:tcPr>
          <w:p>
            <w:pPr>
              <w:spacing w:after="0" w:line="15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agent, BMO Capital Markets Corp., as sole lead arranger and book runner, and the other lenders from</w:t>
              </w:r>
            </w:hyperlink>
          </w:p>
        </w:tc>
        <w:tc>
          <w:tcPr>
            <w:tcW w:w="17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time to time party thereto</w:t>
              </w:r>
              <w:r>
                <w:rPr>
                  <w:rFonts w:ascii="Arial" w:cs="Arial" w:eastAsia="Arial" w:hAnsi="Arial"/>
                  <w:sz w:val="18"/>
                  <w:szCs w:val="18"/>
                  <w:color w:val="000000"/>
                </w:rPr>
                <w:t>*** (54)</w:t>
              </w:r>
            </w:hyperlink>
          </w:p>
        </w:tc>
        <w:tc>
          <w:tcPr>
            <w:tcW w:w="320" w:type="dxa"/>
            <w:vAlign w:val="bottom"/>
            <w:gridSpan w:val="7"/>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21</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Subsidiaries of the Company</w:t>
              </w:r>
            </w:hyperlink>
          </w:p>
        </w:tc>
        <w:tc>
          <w:tcPr>
            <w:tcW w:w="5540" w:type="dxa"/>
            <w:vAlign w:val="bottom"/>
            <w:tcBorders>
              <w:bottom w:val="single" w:sz="8" w:color="CCEEFF"/>
            </w:tcBorders>
            <w:gridSpan w:val="27"/>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23</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Consent of Grant Thornton LLP</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24</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0"/>
              </w:rPr>
            </w:pPr>
            <w:hyperlink w:anchor="page91">
              <w:r>
                <w:rPr>
                  <w:rFonts w:ascii="Arial" w:cs="Arial" w:eastAsia="Arial" w:hAnsi="Arial"/>
                  <w:sz w:val="18"/>
                  <w:szCs w:val="18"/>
                  <w:color w:val="0000FF"/>
                  <w:w w:val="90"/>
                </w:rPr>
                <w:t>Powers of Attorney</w:t>
              </w:r>
            </w:hyperlink>
          </w:p>
        </w:tc>
        <w:tc>
          <w:tcPr>
            <w:tcW w:w="6220" w:type="dxa"/>
            <w:vAlign w:val="bottom"/>
            <w:tcBorders>
              <w:bottom w:val="single" w:sz="8" w:color="CCEEFF"/>
            </w:tcBorders>
            <w:gridSpan w:val="30"/>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r>
      <w:tr>
        <w:trPr>
          <w:trHeight w:val="189"/>
        </w:trPr>
        <w:tc>
          <w:tcPr>
            <w:tcW w:w="104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89"/>
              </w:rPr>
              <w:t>31</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(a)</w:t>
            </w:r>
          </w:p>
        </w:tc>
        <w:tc>
          <w:tcPr>
            <w:tcW w:w="20" w:type="dxa"/>
            <w:vAlign w:val="bottom"/>
          </w:tcPr>
          <w:p>
            <w:pPr>
              <w:spacing w:after="0"/>
              <w:rPr>
                <w:sz w:val="16"/>
                <w:szCs w:val="16"/>
                <w:color w:val="auto"/>
              </w:rPr>
            </w:pPr>
          </w:p>
        </w:tc>
        <w:tc>
          <w:tcPr>
            <w:tcW w:w="7620" w:type="dxa"/>
            <w:vAlign w:val="bottom"/>
            <w:gridSpan w:val="31"/>
          </w:tcPr>
          <w:p>
            <w:pPr>
              <w:spacing w:after="0" w:line="189" w:lineRule="exact"/>
              <w:rPr>
                <w:rFonts w:ascii="Arial" w:cs="Arial" w:eastAsia="Arial" w:hAnsi="Arial"/>
                <w:sz w:val="18"/>
                <w:szCs w:val="18"/>
                <w:color w:val="0000FF"/>
              </w:rPr>
            </w:pPr>
            <w:hyperlink w:anchor="page97">
              <w:r>
                <w:rPr>
                  <w:rFonts w:ascii="Arial" w:cs="Arial" w:eastAsia="Arial" w:hAnsi="Arial"/>
                  <w:sz w:val="18"/>
                  <w:szCs w:val="18"/>
                  <w:color w:val="0000FF"/>
                </w:rPr>
                <w:t>Rule 13a-14(a)/15d-14(a) Certification of Chief Executive Officer</w:t>
              </w:r>
            </w:hyperlink>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040" w:type="dxa"/>
            <w:vAlign w:val="bottom"/>
            <w:shd w:val="clear" w:color="auto" w:fill="CCEEFF"/>
          </w:tcPr>
          <w:p>
            <w:pPr>
              <w:jc w:val="center"/>
              <w:ind w:left="610"/>
              <w:spacing w:after="0" w:line="189" w:lineRule="exact"/>
              <w:rPr>
                <w:sz w:val="20"/>
                <w:szCs w:val="20"/>
                <w:color w:val="auto"/>
              </w:rPr>
            </w:pPr>
            <w:r>
              <w:rPr>
                <w:rFonts w:ascii="Arial" w:cs="Arial" w:eastAsia="Arial" w:hAnsi="Arial"/>
                <w:sz w:val="18"/>
                <w:szCs w:val="18"/>
                <w:color w:val="auto"/>
                <w:w w:val="89"/>
              </w:rPr>
              <w:t>31</w:t>
            </w:r>
          </w:p>
        </w:tc>
        <w:tc>
          <w:tcPr>
            <w:tcW w:w="8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(b)</w:t>
            </w:r>
          </w:p>
        </w:tc>
        <w:tc>
          <w:tcPr>
            <w:tcW w:w="20" w:type="dxa"/>
            <w:vAlign w:val="bottom"/>
            <w:shd w:val="clear" w:color="auto" w:fill="CCEEFF"/>
          </w:tcPr>
          <w:p>
            <w:pPr>
              <w:spacing w:after="0"/>
              <w:rPr>
                <w:sz w:val="18"/>
                <w:szCs w:val="18"/>
                <w:color w:val="auto"/>
              </w:rPr>
            </w:pPr>
          </w:p>
        </w:tc>
        <w:tc>
          <w:tcPr>
            <w:tcW w:w="7620" w:type="dxa"/>
            <w:vAlign w:val="bottom"/>
            <w:gridSpan w:val="31"/>
            <w:shd w:val="clear" w:color="auto" w:fill="CCEEFF"/>
          </w:tcPr>
          <w:p>
            <w:pPr>
              <w:spacing w:after="0" w:line="189" w:lineRule="exact"/>
              <w:rPr>
                <w:rFonts w:ascii="Arial" w:cs="Arial" w:eastAsia="Arial" w:hAnsi="Arial"/>
                <w:sz w:val="18"/>
                <w:szCs w:val="18"/>
                <w:color w:val="0000FF"/>
              </w:rPr>
            </w:pPr>
            <w:hyperlink w:anchor="page98">
              <w:r>
                <w:rPr>
                  <w:rFonts w:ascii="Arial" w:cs="Arial" w:eastAsia="Arial" w:hAnsi="Arial"/>
                  <w:sz w:val="18"/>
                  <w:szCs w:val="18"/>
                  <w:color w:val="0000FF"/>
                </w:rPr>
                <w:t>Rule 13a-14(a)/15d-14(a) Certification of Chief Financial Officer</w:t>
              </w:r>
            </w:hyperlink>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r>
      <w:tr>
        <w:trPr>
          <w:trHeight w:val="189"/>
        </w:trPr>
        <w:tc>
          <w:tcPr>
            <w:tcW w:w="1040" w:type="dxa"/>
            <w:vAlign w:val="bottom"/>
            <w:tcBorders>
              <w:top w:val="single" w:sz="8" w:color="CCEEFF"/>
            </w:tcBorders>
          </w:tcPr>
          <w:p>
            <w:pPr>
              <w:jc w:val="center"/>
              <w:ind w:left="610"/>
              <w:spacing w:after="0" w:line="189" w:lineRule="exact"/>
              <w:rPr>
                <w:sz w:val="20"/>
                <w:szCs w:val="20"/>
                <w:color w:val="auto"/>
              </w:rPr>
            </w:pPr>
            <w:r>
              <w:rPr>
                <w:rFonts w:ascii="Arial" w:cs="Arial" w:eastAsia="Arial" w:hAnsi="Arial"/>
                <w:sz w:val="18"/>
                <w:szCs w:val="18"/>
                <w:color w:val="auto"/>
                <w:w w:val="89"/>
              </w:rPr>
              <w:t>32</w:t>
            </w:r>
          </w:p>
        </w:tc>
        <w:tc>
          <w:tcPr>
            <w:tcW w:w="2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0000FF"/>
            </w:tcBorders>
            <w:gridSpan w:val="14"/>
          </w:tcPr>
          <w:p>
            <w:pPr>
              <w:spacing w:after="0" w:line="189" w:lineRule="exact"/>
              <w:rPr>
                <w:rFonts w:ascii="Arial" w:cs="Arial" w:eastAsia="Arial" w:hAnsi="Arial"/>
                <w:sz w:val="18"/>
                <w:szCs w:val="18"/>
                <w:color w:val="0000FF"/>
              </w:rPr>
            </w:pPr>
            <w:hyperlink w:anchor="page99">
              <w:r>
                <w:rPr>
                  <w:rFonts w:ascii="Arial" w:cs="Arial" w:eastAsia="Arial" w:hAnsi="Arial"/>
                  <w:sz w:val="18"/>
                  <w:szCs w:val="18"/>
                  <w:color w:val="0000FF"/>
                </w:rPr>
                <w:t>Section 1350 Certification</w:t>
              </w:r>
            </w:hyperlink>
          </w:p>
        </w:tc>
        <w:tc>
          <w:tcPr>
            <w:tcW w:w="2920" w:type="dxa"/>
            <w:vAlign w:val="bottom"/>
            <w:tcBorders>
              <w:top w:val="single" w:sz="8" w:color="CCEEFF"/>
            </w:tcBorders>
            <w:gridSpan w:val="17"/>
          </w:tcPr>
          <w:p>
            <w:pPr>
              <w:spacing w:after="0"/>
              <w:rPr>
                <w:sz w:val="16"/>
                <w:szCs w:val="16"/>
                <w:color w:val="auto"/>
              </w:rPr>
            </w:pPr>
          </w:p>
        </w:tc>
        <w:tc>
          <w:tcPr>
            <w:tcW w:w="172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4"/>
              </w:rPr>
              <w:t>Filed Electronically</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93"/>
              </w:rPr>
              <w:t>101</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2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The following financial statements from the Annual Report on Form 10-K for the year ended</w:t>
            </w:r>
          </w:p>
        </w:tc>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Filed Electronically</w:t>
            </w:r>
          </w:p>
        </w:tc>
      </w:tr>
      <w:tr>
        <w:trPr>
          <w:trHeight w:val="175"/>
        </w:trPr>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2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w w:val="94"/>
              </w:rPr>
              <w:t>September 30, 2021, as filed with the Security and Exchange Commission, formatted in iXBRL (Inline</w:t>
            </w:r>
          </w:p>
        </w:tc>
        <w:tc>
          <w:tcPr>
            <w:tcW w:w="1720" w:type="dxa"/>
            <w:vAlign w:val="bottom"/>
            <w:shd w:val="clear" w:color="auto" w:fill="CCEEFF"/>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2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w w:val="92"/>
              </w:rPr>
              <w:t>eXtensible Business Reporting Language): (i) Consolidated Statements of Operations, (ii) Consolidated</w:t>
            </w:r>
          </w:p>
        </w:tc>
        <w:tc>
          <w:tcPr>
            <w:tcW w:w="1720" w:type="dxa"/>
            <w:vAlign w:val="bottom"/>
            <w:shd w:val="clear" w:color="auto" w:fill="CCEEFF"/>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2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w w:val="92"/>
              </w:rPr>
              <w:t>Statements of Comprehensive Income, (iii) Consolidated Balance Sheets, (iv) Consolidated Statements</w:t>
            </w:r>
          </w:p>
        </w:tc>
        <w:tc>
          <w:tcPr>
            <w:tcW w:w="1720" w:type="dxa"/>
            <w:vAlign w:val="bottom"/>
            <w:shd w:val="clear" w:color="auto" w:fill="CCEEFF"/>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2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w w:val="96"/>
              </w:rPr>
              <w:t>of Cash Flows, (v) Consolidated Statements of Stockholders' Equity, and (vi) Notes to Consolidated</w:t>
            </w:r>
          </w:p>
        </w:tc>
        <w:tc>
          <w:tcPr>
            <w:tcW w:w="1720" w:type="dxa"/>
            <w:vAlign w:val="bottom"/>
            <w:shd w:val="clear" w:color="auto" w:fill="CCEEFF"/>
          </w:tcPr>
          <w:p>
            <w:pPr>
              <w:spacing w:after="0"/>
              <w:rPr>
                <w:sz w:val="15"/>
                <w:szCs w:val="15"/>
                <w:color w:val="auto"/>
              </w:rPr>
            </w:pPr>
          </w:p>
        </w:tc>
      </w:tr>
      <w:tr>
        <w:trPr>
          <w:trHeight w:val="230"/>
        </w:trPr>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2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720" w:type="dxa"/>
            <w:vAlign w:val="bottom"/>
            <w:shd w:val="clear" w:color="auto" w:fill="CCEEFF"/>
          </w:tcPr>
          <w:p>
            <w:pPr>
              <w:spacing w:after="0"/>
              <w:rPr>
                <w:sz w:val="19"/>
                <w:szCs w:val="19"/>
                <w:color w:val="auto"/>
              </w:rPr>
            </w:pPr>
          </w:p>
        </w:tc>
      </w:tr>
      <w:tr>
        <w:trPr>
          <w:trHeight w:val="90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12"/>
          </w:tcPr>
          <w:p>
            <w:pPr>
              <w:jc w:val="right"/>
              <w:ind w:right="4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gridSpan w:val="4"/>
          </w:tcPr>
          <w:p>
            <w:pPr>
              <w:spacing w:after="0"/>
              <w:rPr>
                <w:sz w:val="20"/>
                <w:szCs w:val="20"/>
                <w:color w:val="auto"/>
              </w:rPr>
            </w:pPr>
            <w:r>
              <w:rPr>
                <w:rFonts w:ascii="Arial" w:cs="Arial" w:eastAsia="Arial" w:hAnsi="Arial"/>
                <w:sz w:val="18"/>
                <w:szCs w:val="18"/>
                <w:b w:val="1"/>
                <w:bCs w:val="1"/>
                <w:color w:val="auto"/>
              </w:rPr>
              <w:t>ITEM 15. EXHIBITS AND FINANCIAL STATEMENT SCHEDULES (CONTINUED)</w:t>
            </w:r>
          </w:p>
        </w:tc>
        <w:tc>
          <w:tcPr>
            <w:tcW w:w="1720" w:type="dxa"/>
            <w:vAlign w:val="bottom"/>
          </w:tcPr>
          <w:p>
            <w:pPr>
              <w:spacing w:after="0"/>
              <w:rPr>
                <w:sz w:val="20"/>
                <w:szCs w:val="20"/>
                <w:color w:val="auto"/>
              </w:rPr>
            </w:pPr>
          </w:p>
        </w:tc>
      </w:tr>
      <w:tr>
        <w:trPr>
          <w:trHeight w:val="256"/>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76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720" w:type="dxa"/>
            <w:vAlign w:val="bottom"/>
          </w:tcPr>
          <w:p>
            <w:pPr>
              <w:ind w:left="20"/>
              <w:spacing w:after="0"/>
              <w:rPr>
                <w:sz w:val="20"/>
                <w:szCs w:val="20"/>
                <w:color w:val="auto"/>
              </w:rPr>
            </w:pPr>
            <w:r>
              <w:rPr>
                <w:rFonts w:ascii="Arial" w:cs="Arial" w:eastAsia="Arial" w:hAnsi="Arial"/>
                <w:sz w:val="18"/>
                <w:szCs w:val="18"/>
                <w:color w:val="auto"/>
              </w:rPr>
              <w:t>Method of Filing</w:t>
            </w:r>
          </w:p>
        </w:tc>
      </w:tr>
      <w:tr>
        <w:trPr>
          <w:trHeight w:val="34"/>
        </w:trPr>
        <w:tc>
          <w:tcPr>
            <w:tcW w:w="1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76"/>
        </w:trPr>
        <w:tc>
          <w:tcPr>
            <w:tcW w:w="1760" w:type="dxa"/>
            <w:vAlign w:val="bottom"/>
            <w:shd w:val="clear" w:color="auto" w:fill="CCEEFF"/>
          </w:tcPr>
          <w:p>
            <w:pPr>
              <w:jc w:val="right"/>
              <w:ind w:right="650"/>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The cover page from Digi International Inc.'s Annual Report on Form 10-K for the year ended</w:t>
            </w:r>
          </w:p>
        </w:tc>
        <w:tc>
          <w:tcPr>
            <w:tcW w:w="17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Filed Electronically</w:t>
            </w:r>
          </w:p>
        </w:tc>
      </w:tr>
      <w:tr>
        <w:trPr>
          <w:trHeight w:val="229"/>
        </w:trPr>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 is formatted in iXBRL (included in Exhibit 101).</w:t>
            </w:r>
          </w:p>
        </w:tc>
        <w:tc>
          <w:tcPr>
            <w:tcW w:w="172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420" w:hanging="372"/>
        <w:spacing w:after="0" w:line="250" w:lineRule="auto"/>
        <w:tabs>
          <w:tab w:leader="none" w:pos="3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schedules and exhibits have been omitted in accordance with Item 601(b)(2) of Regulation S-K. A copy of any omitted schedule and/or exhibit will be furnished to the Securities and Exchange Commission upon request.</w:t>
      </w:r>
    </w:p>
    <w:p>
      <w:pPr>
        <w:spacing w:after="0" w:line="1" w:lineRule="exact"/>
        <w:rPr>
          <w:sz w:val="20"/>
          <w:szCs w:val="20"/>
          <w:color w:val="auto"/>
        </w:rPr>
      </w:pPr>
    </w:p>
    <w:p>
      <w:pPr>
        <w:ind w:left="400" w:hanging="35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compensatory contract or arrangement required to be included as an exhibit to this Annual Report on Form 10-K.</w:t>
      </w:r>
    </w:p>
    <w:p>
      <w:pPr>
        <w:spacing w:after="0" w:line="35" w:lineRule="exact"/>
        <w:rPr>
          <w:rFonts w:ascii="Arial" w:cs="Arial" w:eastAsia="Arial" w:hAnsi="Arial"/>
          <w:sz w:val="18"/>
          <w:szCs w:val="18"/>
          <w:color w:val="auto"/>
        </w:rPr>
      </w:pPr>
    </w:p>
    <w:p>
      <w:pPr>
        <w:ind w:left="420" w:right="300" w:hanging="372"/>
        <w:spacing w:after="0" w:line="324" w:lineRule="auto"/>
        <w:tabs>
          <w:tab w:leader="none" w:pos="3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A copy of any omitted schedule will be furnished to the Securities and Exchange Commission upon request.</w:t>
      </w:r>
    </w:p>
    <w:p>
      <w:pPr>
        <w:spacing w:after="0" w:line="157" w:lineRule="exact"/>
        <w:rPr>
          <w:sz w:val="20"/>
          <w:szCs w:val="20"/>
          <w:color w:val="auto"/>
        </w:rPr>
      </w:pPr>
    </w:p>
    <w:p>
      <w:pPr>
        <w:ind w:left="440" w:hanging="392"/>
        <w:spacing w:after="0"/>
        <w:tabs>
          <w:tab w:leader="none" w:pos="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Incorporated by reference to Exhibit 2.1 to Form 8-K filed October 25, 2017.</w:t>
      </w:r>
    </w:p>
    <w:p>
      <w:pPr>
        <w:spacing w:after="0" w:line="23" w:lineRule="exact"/>
        <w:rPr>
          <w:rFonts w:ascii="Arial" w:cs="Arial" w:eastAsia="Arial" w:hAnsi="Arial"/>
          <w:sz w:val="18"/>
          <w:szCs w:val="18"/>
          <w:color w:val="auto"/>
        </w:rPr>
      </w:pPr>
    </w:p>
    <w:p>
      <w:pPr>
        <w:ind w:left="440" w:hanging="392"/>
        <w:spacing w:after="0"/>
        <w:tabs>
          <w:tab w:leader="none" w:pos="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Incorporated by reference to Exhibit 2.1 to Form 8-K filed November 8,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2.1 to Form 8-K filed November 1, 2021.</w:t>
      </w:r>
    </w:p>
    <w:p>
      <w:pPr>
        <w:spacing w:after="0" w:line="9" w:lineRule="exact"/>
        <w:rPr>
          <w:rFonts w:ascii="Arial" w:cs="Arial" w:eastAsia="Arial" w:hAnsi="Arial"/>
          <w:sz w:val="18"/>
          <w:szCs w:val="18"/>
          <w:color w:val="auto"/>
        </w:rPr>
      </w:pPr>
    </w:p>
    <w:p>
      <w:pPr>
        <w:ind w:left="440" w:hanging="392"/>
        <w:spacing w:after="0" w:line="207" w:lineRule="exact"/>
        <w:tabs>
          <w:tab w:leader="none" w:pos="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3(a) to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September 30, 1993 (File no. 0</w:t>
      </w:r>
      <w:r>
        <w:rPr>
          <w:rFonts w:ascii="MS PGothic" w:cs="MS PGothic" w:eastAsia="MS PGothic" w:hAnsi="MS PGothic"/>
          <w:sz w:val="18"/>
          <w:szCs w:val="18"/>
          <w:color w:val="auto"/>
        </w:rPr>
        <w:t>‑</w:t>
      </w:r>
      <w:r>
        <w:rPr>
          <w:rFonts w:ascii="Arial" w:cs="Arial" w:eastAsia="Arial" w:hAnsi="Arial"/>
          <w:sz w:val="18"/>
          <w:szCs w:val="18"/>
          <w:color w:val="auto"/>
        </w:rPr>
        <w:t>17972).</w:t>
      </w:r>
    </w:p>
    <w:p>
      <w:pPr>
        <w:spacing w:after="0" w:line="9" w:lineRule="exact"/>
        <w:rPr>
          <w:rFonts w:ascii="Arial" w:cs="Arial" w:eastAsia="Arial" w:hAnsi="Arial"/>
          <w:sz w:val="18"/>
          <w:szCs w:val="18"/>
          <w:color w:val="auto"/>
        </w:rPr>
      </w:pPr>
    </w:p>
    <w:p>
      <w:pPr>
        <w:ind w:left="440" w:hanging="392"/>
        <w:spacing w:after="0"/>
        <w:tabs>
          <w:tab w:leader="none" w:pos="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3.1 to Form 8-K filed April 30, 2020.</w:t>
      </w:r>
    </w:p>
    <w:p>
      <w:pPr>
        <w:spacing w:after="0" w:line="9" w:lineRule="exact"/>
        <w:rPr>
          <w:rFonts w:ascii="Arial" w:cs="Arial" w:eastAsia="Arial" w:hAnsi="Arial"/>
          <w:sz w:val="18"/>
          <w:szCs w:val="18"/>
          <w:color w:val="auto"/>
        </w:rPr>
      </w:pPr>
    </w:p>
    <w:p>
      <w:pPr>
        <w:ind w:left="440" w:hanging="392"/>
        <w:spacing w:after="0"/>
        <w:tabs>
          <w:tab w:leader="none" w:pos="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10.a to Form 10-Q filed for the quarter ended March 31, 2020.</w:t>
      </w:r>
    </w:p>
    <w:p>
      <w:pPr>
        <w:spacing w:after="0" w:line="9" w:lineRule="exact"/>
        <w:rPr>
          <w:rFonts w:ascii="Arial" w:cs="Arial" w:eastAsia="Arial" w:hAnsi="Arial"/>
          <w:sz w:val="18"/>
          <w:szCs w:val="18"/>
          <w:color w:val="auto"/>
        </w:rPr>
      </w:pPr>
    </w:p>
    <w:p>
      <w:pPr>
        <w:ind w:left="440" w:hanging="392"/>
        <w:spacing w:after="0"/>
        <w:tabs>
          <w:tab w:leader="none" w:pos="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10(a) to Form 8-K filed January 29, 2010.</w:t>
      </w:r>
    </w:p>
    <w:p>
      <w:pPr>
        <w:spacing w:after="0" w:line="9" w:lineRule="exact"/>
        <w:rPr>
          <w:rFonts w:ascii="Arial" w:cs="Arial" w:eastAsia="Arial" w:hAnsi="Arial"/>
          <w:sz w:val="18"/>
          <w:szCs w:val="18"/>
          <w:color w:val="auto"/>
        </w:rPr>
      </w:pPr>
    </w:p>
    <w:p>
      <w:pPr>
        <w:ind w:left="440" w:hanging="392"/>
        <w:spacing w:after="0"/>
        <w:tabs>
          <w:tab w:leader="none" w:pos="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10(o) to Form 10-K for the year ended September 30, 2008.</w:t>
      </w:r>
    </w:p>
    <w:p>
      <w:pPr>
        <w:spacing w:after="0" w:line="9" w:lineRule="exact"/>
        <w:rPr>
          <w:rFonts w:ascii="Arial" w:cs="Arial" w:eastAsia="Arial" w:hAnsi="Arial"/>
          <w:sz w:val="18"/>
          <w:szCs w:val="18"/>
          <w:color w:val="auto"/>
        </w:rPr>
      </w:pPr>
    </w:p>
    <w:p>
      <w:pPr>
        <w:ind w:left="440" w:hanging="392"/>
        <w:spacing w:after="0"/>
        <w:tabs>
          <w:tab w:leader="none" w:pos="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10(e)(ii) to Form 10-K for the year ended September 30, 2011.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99 to Registration Statement on Form S-8 filed on April 16, 2013.</w:t>
      </w:r>
    </w:p>
    <w:p>
      <w:pPr>
        <w:spacing w:after="0" w:line="9"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 to Form 10-Q for the quarter ended March 31, 2013.</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99 to Registration Statement on Form S-8 filed on March 12, 2014.</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 to Form 10-Q for the quarter ended March 31, 2014.</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 to Form 10-Q for the quarter ended June 30, 2014.</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Appendix A to definitive proxy statement on Schedule 14A filed December 11, 2015.</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10(a)(ii) to Form 10-Q for the quarter ended March 31, 2016.</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10(a)(iii) to Form 10-Q for the quarter ended March 31, 2016.</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10(a)(iv) to Form 10-Q for the quarter ended March 31, 2016.</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Appendix A to definitive proxy statement on Schedule 14A filed December 16, 2016.</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10(b)(ii) to Form 10-Q for the quarter ended March 31, 2017.</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10(b)(iii) to Form 10-Q for the quarter ended March 31, 2017.</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10(b)(iv) to Form 10-Q for the quarter ended March 31, 2017.</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Appendix A to definitive proxy statement on Schedule 14A filed December 8, 2017.</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 to Form 10-Q for the quarter ended March 31, 2018.</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10(a)(ii) to Form 10-Q for the quarter ended March 31, 2018.</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10(a)(iii) to Form 10-Q for the quarter ended March 31, 2018.</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10(a)(iv) to Form 10-Q for the quarter ended March 31, 2018.</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Appendix A to definitive proxy statement on Schedule 14A filed December 14, 2018.</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 to Form 10-Q for the quarter ended March 31, 2019.</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10(a)(ii) to Form 10-Q for the quarter ended March 31, 2019.</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10(a)(iii) to Form 10-Q for the quarter ended March 31, 2019.</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10(a)(iv) to Form 10-Q for the quarter ended March 31, 2019.</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 to Form 10-Q for the quarter ended March 31, 2020.</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 to Form 10-Q for the quarter ended March 31, 2020.</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10(b)(ii) to Form 10-Q for the quarter ended March 31, 2020.</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10(b)(iii) to Form 10-Q for the quarter ended March 31, 2020.</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10(b)(iv) to Form 10-Q for the quarter ended March 31, 2020.</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10(b)(v) to Form 10-Q for the quarter ended March 31, 2020.</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10.1 to Form 8-K filed February 4,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10(b) to Form 10-Q for the quarter ended March 31,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10(c) to Form 10-Q for the quarter ended March 31,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10(d) to Form 10-Q for the quarter ended March 31,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10(e) to Form 10-Q for the quarter ended March 31,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10(f) to Form 10-Q for the quarter ended March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Exhibit 10(g) to Form 10-Q for the quarter ended March 31, 2021.</w:t>
      </w:r>
    </w:p>
    <w:p>
      <w:pPr>
        <w:spacing w:after="0" w:line="46" w:lineRule="exact"/>
        <w:rPr>
          <w:rFonts w:ascii="Arial" w:cs="Arial" w:eastAsia="Arial" w:hAnsi="Arial"/>
          <w:sz w:val="16"/>
          <w:szCs w:val="16"/>
          <w:color w:val="auto"/>
        </w:rPr>
      </w:pPr>
    </w:p>
    <w:p>
      <w:pPr>
        <w:ind w:left="360" w:hanging="352"/>
        <w:spacing w:after="0" w:line="196" w:lineRule="exact"/>
        <w:tabs>
          <w:tab w:leader="none" w:pos="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Exhibit 10 to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 June 30, 2010.</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10.1 to Form 8-K filed December 5, 2014.</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Exhibit 10(m) to Form 10-K for the year ended September 30, 2013.</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Exhibit 10(a) to Form 10-Q for the quarter ended March 31, 2017.</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Exhibit 10(o) to Form 10-K for the year ended September 30, 2019.</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Exhibit 10.O to Form 10-K for the year ended September 30, 2018.</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10.1 to Form 8-K filed May 10, 2019.</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10.1 to Form 8-K filed March 19,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10.1 to Form 8-K filed November 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November 24, 2021.</w:t>
      </w:r>
    </w:p>
    <w:p>
      <w:pPr>
        <w:spacing w:after="0" w:line="7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DIGI INTERNATIONAL INC.</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-635</wp:posOffset>
            </wp:positionV>
            <wp:extent cx="1062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3" w:lineRule="auto"/>
        <w:rPr>
          <w:sz w:val="20"/>
          <w:szCs w:val="20"/>
          <w:color w:val="auto"/>
        </w:rPr>
      </w:pPr>
      <w:r>
        <w:rPr>
          <w:rFonts w:ascii="Arial" w:cs="Arial" w:eastAsia="Arial" w:hAnsi="Arial"/>
          <w:sz w:val="18"/>
          <w:szCs w:val="18"/>
          <w:color w:val="auto"/>
        </w:rPr>
        <w:t>Ronald E. Konezny</w:t>
      </w:r>
    </w:p>
    <w:p>
      <w:pPr>
        <w:ind w:left="5220"/>
        <w:spacing w:after="0"/>
        <w:rPr>
          <w:sz w:val="20"/>
          <w:szCs w:val="20"/>
          <w:color w:val="auto"/>
        </w:rPr>
      </w:pPr>
      <w:r>
        <w:rPr>
          <w:rFonts w:ascii="Arial" w:cs="Arial" w:eastAsia="Arial" w:hAnsi="Arial"/>
          <w:sz w:val="18"/>
          <w:szCs w:val="18"/>
          <w:color w:val="auto"/>
        </w:rPr>
        <w:t>President, Chief Executive Officer and Director</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November 24, 2021.</w:t>
      </w:r>
    </w:p>
    <w:p>
      <w:pPr>
        <w:spacing w:after="0" w:line="6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-635</wp:posOffset>
            </wp:positionV>
            <wp:extent cx="10629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3" w:lineRule="auto"/>
        <w:rPr>
          <w:sz w:val="20"/>
          <w:szCs w:val="20"/>
          <w:color w:val="auto"/>
        </w:rPr>
      </w:pPr>
      <w:r>
        <w:rPr>
          <w:rFonts w:ascii="Arial" w:cs="Arial" w:eastAsia="Arial" w:hAnsi="Arial"/>
          <w:sz w:val="18"/>
          <w:szCs w:val="18"/>
          <w:color w:val="auto"/>
        </w:rPr>
        <w:t>Ronald E. Konezny</w:t>
      </w:r>
    </w:p>
    <w:p>
      <w:pPr>
        <w:ind w:left="5220"/>
        <w:spacing w:after="0" w:line="203"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-635</wp:posOffset>
            </wp:positionV>
            <wp:extent cx="8089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ind w:left="5220"/>
        <w:spacing w:after="0" w:line="203" w:lineRule="auto"/>
        <w:rPr>
          <w:sz w:val="20"/>
          <w:szCs w:val="20"/>
          <w:color w:val="auto"/>
        </w:rPr>
      </w:pPr>
      <w:r>
        <w:rPr>
          <w:rFonts w:ascii="Arial" w:cs="Arial" w:eastAsia="Arial" w:hAnsi="Arial"/>
          <w:sz w:val="18"/>
          <w:szCs w:val="18"/>
          <w:color w:val="auto"/>
        </w:rPr>
        <w:t>James J. Loch</w:t>
      </w:r>
    </w:p>
    <w:p>
      <w:pPr>
        <w:ind w:left="5220"/>
        <w:spacing w:after="0" w:line="203" w:lineRule="auto"/>
        <w:rPr>
          <w:sz w:val="20"/>
          <w:szCs w:val="20"/>
          <w:color w:val="auto"/>
        </w:rPr>
      </w:pPr>
      <w:r>
        <w:rPr>
          <w:rFonts w:ascii="Arial" w:cs="Arial" w:eastAsia="Arial" w:hAnsi="Arial"/>
          <w:sz w:val="18"/>
          <w:szCs w:val="18"/>
          <w:color w:val="auto"/>
        </w:rPr>
        <w:t>Senior Vice President, Chief Financial Officer and Treasurer</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w:t>
      </w:r>
    </w:p>
    <w:p>
      <w:pPr>
        <w:ind w:left="5220"/>
        <w:spacing w:after="0" w:line="203" w:lineRule="auto"/>
        <w:rPr>
          <w:sz w:val="20"/>
          <w:szCs w:val="20"/>
          <w:color w:val="auto"/>
        </w:rPr>
      </w:pPr>
      <w:r>
        <w:rPr>
          <w:rFonts w:ascii="Arial" w:cs="Arial" w:eastAsia="Arial" w:hAnsi="Arial"/>
          <w:sz w:val="18"/>
          <w:szCs w:val="18"/>
          <w:color w:val="auto"/>
        </w:rPr>
        <w:t>Satbir Khanuja</w:t>
      </w:r>
    </w:p>
    <w:p>
      <w:pPr>
        <w:ind w:left="5220"/>
        <w:spacing w:after="0"/>
        <w:rPr>
          <w:sz w:val="20"/>
          <w:szCs w:val="20"/>
          <w:color w:val="auto"/>
        </w:rPr>
      </w:pPr>
      <w:r>
        <w:rPr>
          <w:rFonts w:ascii="Arial" w:cs="Arial" w:eastAsia="Arial" w:hAnsi="Arial"/>
          <w:sz w:val="18"/>
          <w:szCs w:val="18"/>
          <w:color w:val="auto"/>
        </w:rPr>
        <w:t>Director</w:t>
      </w:r>
    </w:p>
    <w:p>
      <w:pPr>
        <w:spacing w:after="0" w:line="9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w:t>
      </w:r>
    </w:p>
    <w:p>
      <w:pPr>
        <w:ind w:left="5220"/>
        <w:spacing w:after="0" w:line="203" w:lineRule="auto"/>
        <w:rPr>
          <w:sz w:val="20"/>
          <w:szCs w:val="20"/>
          <w:color w:val="auto"/>
        </w:rPr>
      </w:pPr>
      <w:r>
        <w:rPr>
          <w:rFonts w:ascii="Arial" w:cs="Arial" w:eastAsia="Arial" w:hAnsi="Arial"/>
          <w:sz w:val="18"/>
          <w:szCs w:val="18"/>
          <w:color w:val="auto"/>
        </w:rPr>
        <w:t>Christopher D. Heim</w:t>
      </w:r>
    </w:p>
    <w:p>
      <w:pPr>
        <w:ind w:left="5220"/>
        <w:spacing w:after="0"/>
        <w:rPr>
          <w:sz w:val="20"/>
          <w:szCs w:val="20"/>
          <w:color w:val="auto"/>
        </w:rPr>
      </w:pPr>
      <w:r>
        <w:rPr>
          <w:rFonts w:ascii="Arial" w:cs="Arial" w:eastAsia="Arial" w:hAnsi="Arial"/>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w:t>
      </w:r>
    </w:p>
    <w:p>
      <w:pPr>
        <w:ind w:left="5220"/>
        <w:spacing w:after="0" w:line="203" w:lineRule="auto"/>
        <w:rPr>
          <w:sz w:val="20"/>
          <w:szCs w:val="20"/>
          <w:color w:val="auto"/>
        </w:rPr>
      </w:pPr>
      <w:r>
        <w:rPr>
          <w:rFonts w:ascii="Arial" w:cs="Arial" w:eastAsia="Arial" w:hAnsi="Arial"/>
          <w:sz w:val="18"/>
          <w:szCs w:val="18"/>
          <w:color w:val="auto"/>
        </w:rPr>
        <w:t>Hatem H. Naguib</w:t>
      </w:r>
    </w:p>
    <w:p>
      <w:pPr>
        <w:ind w:left="5220"/>
        <w:spacing w:after="0"/>
        <w:rPr>
          <w:sz w:val="20"/>
          <w:szCs w:val="20"/>
          <w:color w:val="auto"/>
        </w:rPr>
      </w:pPr>
      <w:r>
        <w:rPr>
          <w:rFonts w:ascii="Arial" w:cs="Arial" w:eastAsia="Arial" w:hAnsi="Arial"/>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w:t>
      </w:r>
    </w:p>
    <w:p>
      <w:pPr>
        <w:ind w:left="5220"/>
        <w:spacing w:after="0" w:line="203" w:lineRule="auto"/>
        <w:rPr>
          <w:sz w:val="20"/>
          <w:szCs w:val="20"/>
          <w:color w:val="auto"/>
        </w:rPr>
      </w:pPr>
      <w:r>
        <w:rPr>
          <w:rFonts w:ascii="Arial" w:cs="Arial" w:eastAsia="Arial" w:hAnsi="Arial"/>
          <w:sz w:val="18"/>
          <w:szCs w:val="18"/>
          <w:color w:val="auto"/>
        </w:rPr>
        <w:t>Sally J. Smith</w:t>
      </w:r>
    </w:p>
    <w:p>
      <w:pPr>
        <w:ind w:left="5220"/>
        <w:spacing w:after="0"/>
        <w:rPr>
          <w:sz w:val="20"/>
          <w:szCs w:val="20"/>
          <w:color w:val="auto"/>
        </w:rPr>
      </w:pPr>
      <w:r>
        <w:rPr>
          <w:rFonts w:ascii="Arial" w:cs="Arial" w:eastAsia="Arial" w:hAnsi="Arial"/>
          <w:sz w:val="18"/>
          <w:szCs w:val="18"/>
          <w:color w:val="auto"/>
        </w:rPr>
        <w:t>Director</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w:t>
      </w:r>
    </w:p>
    <w:p>
      <w:pPr>
        <w:ind w:left="5240"/>
        <w:spacing w:after="0" w:line="203" w:lineRule="auto"/>
        <w:rPr>
          <w:sz w:val="20"/>
          <w:szCs w:val="20"/>
          <w:color w:val="auto"/>
        </w:rPr>
      </w:pPr>
      <w:r>
        <w:rPr>
          <w:rFonts w:ascii="Arial" w:cs="Arial" w:eastAsia="Arial" w:hAnsi="Arial"/>
          <w:sz w:val="18"/>
          <w:szCs w:val="18"/>
          <w:color w:val="auto"/>
        </w:rPr>
        <w:t>Spiro C. Lazarakis</w:t>
      </w:r>
    </w:p>
    <w:p>
      <w:pPr>
        <w:ind w:left="5240"/>
        <w:spacing w:after="0"/>
        <w:rPr>
          <w:sz w:val="20"/>
          <w:szCs w:val="20"/>
          <w:color w:val="auto"/>
        </w:rPr>
      </w:pPr>
      <w:r>
        <w:rPr>
          <w:rFonts w:ascii="Arial" w:cs="Arial" w:eastAsia="Arial" w:hAnsi="Arial"/>
          <w:sz w:val="18"/>
          <w:szCs w:val="18"/>
          <w:color w:val="auto"/>
        </w:rPr>
        <w:t>Director</w:t>
      </w:r>
    </w:p>
    <w:p>
      <w:pPr>
        <w:spacing w:after="0" w:line="331" w:lineRule="exact"/>
        <w:rPr>
          <w:sz w:val="20"/>
          <w:szCs w:val="20"/>
          <w:color w:val="auto"/>
        </w:rPr>
      </w:pPr>
    </w:p>
    <w:p>
      <w:pPr>
        <w:ind w:left="180" w:right="500" w:hanging="172"/>
        <w:spacing w:after="0" w:line="277" w:lineRule="auto"/>
        <w:tabs>
          <w:tab w:leader="none" w:pos="2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Ronald E. Konezny, by signing his name hereto, does hereby sign this document on behalf of each of the above named directors of the Registrant pursuant to Powers of Attorney duly executed by such persons.</w:t>
      </w:r>
    </w:p>
    <w:p>
      <w:pPr>
        <w:spacing w:after="0" w:line="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-635</wp:posOffset>
            </wp:positionV>
            <wp:extent cx="1062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40"/>
        <w:spacing w:after="0" w:line="203" w:lineRule="auto"/>
        <w:rPr>
          <w:sz w:val="20"/>
          <w:szCs w:val="20"/>
          <w:color w:val="auto"/>
        </w:rPr>
      </w:pPr>
      <w:r>
        <w:rPr>
          <w:rFonts w:ascii="Arial" w:cs="Arial" w:eastAsia="Arial" w:hAnsi="Arial"/>
          <w:sz w:val="18"/>
          <w:szCs w:val="18"/>
          <w:color w:val="auto"/>
        </w:rPr>
        <w:t>Ronald E. Konezny</w:t>
      </w:r>
    </w:p>
    <w:p>
      <w:pPr>
        <w:ind w:left="524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60" w:type="dxa"/>
            <w:vAlign w:val="bottom"/>
            <w:gridSpan w:val="12"/>
          </w:tcPr>
          <w:p>
            <w:pPr>
              <w:jc w:val="center"/>
              <w:ind w:right="15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4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rPr>
              <w:t>DIGI INTERNATIONAL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6"/>
              </w:rPr>
              <w:t>Balance 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89"/>
              </w:rPr>
              <w:t>Charged to</w:t>
            </w:r>
          </w:p>
        </w:tc>
        <w:tc>
          <w:tcPr>
            <w:tcW w:w="10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9"/>
              </w:rPr>
              <w:t>Charged to</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Description</w:t>
            </w: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200"/>
              <w:spacing w:after="0" w:line="176" w:lineRule="exact"/>
              <w:rPr>
                <w:sz w:val="20"/>
                <w:szCs w:val="20"/>
                <w:color w:val="auto"/>
              </w:rPr>
            </w:pPr>
            <w:r>
              <w:rPr>
                <w:rFonts w:ascii="Arial" w:cs="Arial" w:eastAsia="Arial" w:hAnsi="Arial"/>
                <w:sz w:val="18"/>
                <w:szCs w:val="18"/>
                <w:color w:val="auto"/>
                <w:w w:val="97"/>
              </w:rPr>
              <w:t>beginning of</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5"/>
              </w:rPr>
              <w:t>costs and</w:t>
            </w:r>
          </w:p>
        </w:tc>
        <w:tc>
          <w:tcPr>
            <w:tcW w:w="10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5"/>
                <w:szCs w:val="15"/>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8"/>
                <w:szCs w:val="18"/>
                <w:color w:val="auto"/>
              </w:rPr>
              <w:t>Deductions</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period</w:t>
            </w:r>
          </w:p>
        </w:tc>
        <w:tc>
          <w:tcPr>
            <w:tcW w:w="14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expenses</w:t>
            </w:r>
          </w:p>
        </w:tc>
        <w:tc>
          <w:tcPr>
            <w:tcW w:w="10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w w:val="93"/>
              </w:rPr>
              <w:t>end of period</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0"/>
              </w:rPr>
              <w:t>Valuation allowance - deferred tax assets</w:t>
            </w:r>
          </w:p>
        </w:tc>
        <w:tc>
          <w:tcPr>
            <w:tcW w:w="10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0"/>
              </w:rPr>
              <w:t>Reserve for future credit returns and pricing adjustments</w:t>
            </w:r>
          </w:p>
        </w:tc>
        <w:tc>
          <w:tcPr>
            <w:tcW w:w="1040" w:type="dxa"/>
            <w:vAlign w:val="bottom"/>
            <w:tcBorders>
              <w:bottom w:val="single" w:sz="8" w:color="CCEEFF"/>
            </w:tcBorders>
            <w:gridSpan w:val="3"/>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15,477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16,023</w:t>
            </w:r>
          </w:p>
        </w:tc>
        <w:tc>
          <w:tcPr>
            <w:tcW w:w="5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12,640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12,523</w:t>
            </w:r>
          </w:p>
        </w:tc>
        <w:tc>
          <w:tcPr>
            <w:tcW w:w="5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ind w:right="340"/>
        <w:spacing w:after="0" w:line="219" w:lineRule="exact"/>
        <w:rPr>
          <w:sz w:val="20"/>
          <w:szCs w:val="20"/>
          <w:color w:val="auto"/>
        </w:rPr>
      </w:pPr>
      <w:r>
        <w:rPr>
          <w:rFonts w:ascii="Arial" w:cs="Arial" w:eastAsia="Arial" w:hAnsi="Arial"/>
          <w:sz w:val="18"/>
          <w:szCs w:val="18"/>
          <w:color w:val="auto"/>
        </w:rPr>
        <w:t>The summary of the general terms and provisions of the capital stock of Digi International Inc. (the “Company”) set forth below does not purport to be complete and is subject to and qualified by reference to the Company’s Restated Certificate of Incorporation, as amended (the “Certificate of Incorporation”) and Amended and Restated By</w:t>
      </w:r>
      <w:r>
        <w:rPr>
          <w:rFonts w:ascii="MS PGothic" w:cs="MS PGothic" w:eastAsia="MS PGothic" w:hAnsi="MS PGothic"/>
          <w:sz w:val="18"/>
          <w:szCs w:val="18"/>
          <w:color w:val="auto"/>
        </w:rPr>
        <w:t>‑</w:t>
      </w:r>
      <w:r>
        <w:rPr>
          <w:rFonts w:ascii="Arial" w:cs="Arial" w:eastAsia="Arial" w:hAnsi="Arial"/>
          <w:sz w:val="18"/>
          <w:szCs w:val="18"/>
          <w:color w:val="auto"/>
        </w:rPr>
        <w:t>Laws of the Company (the “By-laws,” and together with the Certificate of Incorporation, the “Charter Documents”), each of which is incorporated herein by reference and attached as an exhibit to the Company’s most recent Annual Report on Form 10-K filed with the Securities and Exchange Commission. For additional information, please read the Company’s Charter Documents and the applicable provisions of the General Corporation Law of Delaware (the “DGCL”).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authorized to issue up to 60,000,000 shares of common stock, with a par value of $.01 per share, and 2,000,000 shares of preferred stock, with a par value of $.01 (the “Preferred Stock”). The Company’s Board of Directors has the power and authority to fix by resolution any designation, series, voting power, preference, right, qualification, limitation, restriction, dividend, time and price of redemption and conversion right with respect to the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holders of shares of the Company’s common stock are entitled to one vote per share on all matters voted upon by the Company’s stockholders. The Company’s common stock does not have cumulative voting rights, and, accordingly, holders of more than 50% of the outstanding shares of common stock will be able to elect all of the members of the Board of Directors. If the number of candidates exceeds the number of members to be elected to the Board of Directors, they may be elected by plurality vote. The following significant corporate transactions require approval by the affirmative vote of at least 80% of the outstanding shares entitled to vote, voting together as a single class: (i) Business Combinations with Interested Stockholders (as described below), (ii) amendments to Articles Fifth and Sixth of the Certificate of Incorporation and (iii) amendments to By-laws proposed by stockholders. Other matters to be voted upon by the holders of common stock normally require the affirmative vote of a majority of the shares present at the particular stockholders meeting. The holders of the Preferred Stock shall not be entitled to vote nor receive notice of any meeting of stockholders at which they are not entitled to vote unless the Board of Directors so provides.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After satisfaction of the dividend rights of holders of Preferred Stock, the holders of shares of the Company’s common stock are entitled to receive dividends, if any, in such amounts as may be declared from time to time by the Company’s Board of Directors in its discretion out of any funds legally available therefor and as permitted by the DGCL.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8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the event of the Company’s dissolution, liquidation or winding-up, the holders of shares of common stock are entitled to share ratably in any assets of the Company remaining after payment in full of creditors and preferred stockholders to the extent of any liquidation preferences.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Rights</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are no preemptive, subscription, conversion, redemption or sinking fund rights pertaining to the common stock. The absence of preemptive rights could result in a dilution of the interest of investors should additional common stock be issued.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currently traded on the Nasdaq Stock Market under the symbol “DGII.”</w:t>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Anti-Takeover Provisions</w:t>
      </w:r>
    </w:p>
    <w:p>
      <w:pPr>
        <w:spacing w:after="0" w:line="20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Charter Documents and the DGCL contain certain provisions that may discourage an unsolicited takeover of the Company or make an unsolicited takeover of the Company more difficult. The following are some of the more significant anti-takeover provisions that are applicable to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Certificate of Incorporation provides that, in addition to any affirmative vote required by law or by the Charter Documents, (a) any merger or consolidation of the Company or any Subsidiary with (i) any Interested Stockholder (a person who (i) is the beneficial owner of Voting Stock representing twenty percent (20%) or more of the votes entitled to be cast by the holders of all then outstanding shares of Voting Stock; or (ii) is an Affiliate or Associate of the Company and at any time within the two-year period immediately prior to the date in questions was the beneficial owner of Voting Stock representing 20% or more of the votes entitled to be cast by the holders of all then outstanding shares of Voting Stock) or (ii) any other corporation (whether or not itself an Interested Stockholder) which is or after such merger or consolidation would be an affiliate or associate of an Interested Stockholder, (b) any sale, lease, exchange, mortgage, pledge, transfer or other disposition (in one transaction or a series of transactions) with any Interested Stockholder or any affiliate or associate of any Interested Stockholder involving any assets or securities of the Company, any subsidiary or any Interested Stockholder or any affiliate or associate of any Interested Stockholder having an aggregate fair market value equal to or greater than 10% of the book value of the consolidated assets of the Company, (c) the adoption of any plan or proposal for the liquidation or dissolution of the Company proposed by or on behalf of an Interested Stockholder or any affiliate or associate of any Interested Stockholder, (d) any reclassification of securities (including any reverse stock split), or recapitalization of the Company, or any merger or consolidation of the Company with any of its subsidiaries or any other transaction (whether or not with or otherwise involving an Interested Stockholder) that has the effect, directly or indirectly, of increasing the proportionate share of any class or series of Capital Stock, or any securities convertible into Capital Stock or into equity securities of any subsidiary, that is beneficially owned by any Interested Stockholder or any affiliate or associate of any Interested Stockholder, or (e) any agreement, contract or other arrangement providing for any one or more of the actions specified in the foregoing clauses (a) - (d), shall require the affirmative vote of not less than 80% of the votes entitled to be cast by the holders of all then outstanding shares of Voting Stock, voting together as a single class. The foregoing restriction does not apply to (i) transactions approved by a majority (whether such approval is made prior to or subsequent to the acquisition of beneficial ownership of the Voting Stock that caused the Interested Stockholder to become an Interested Stockholder) of the Continuing Directors (any member of the Board of Directors of the Company, while such person is a member of the Board of Directors, who was a member of the Board prior to the time that the Interested Stockholder involved in the Business Combination in questions became an Interested Stockholder, and any member of the Board of Directors, whose election, or nomination for election by the Company’s Stockholders, was approved by vote of a majority of the Continuing Directors; provided, however, that in no event shall an Interested Stockholder involved in the Business Combination in question or any Affiliate, Associate or representative of such Interested Stockholder be deemed to be a Continuing Director); or (ii) transactions in which all stockholders receive a specified consideration per share and such transaction meets the additional conditions set forth in Article Sixth of the Certificate of Incorporation. The affirmative vote of the holders of at least 80% percent or more of the Voting Stock of the Company, voting together as a single class, is required to amend or repeal this provision of the Certificate.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general, Section 203 of the DGCL prohibits a Delaware corporation with a class of voting stock listed on a national securities exchange or held of record by 2,000 or more stockholders from engaging in a “Business Combination” (as defined below) with an “Interested Stockholder” (as defined below)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for seven years unless it satisfies one of the following conditions:</w:t>
      </w:r>
    </w:p>
    <w:p>
      <w:pPr>
        <w:spacing w:after="0" w:line="126" w:lineRule="exact"/>
        <w:rPr>
          <w:sz w:val="20"/>
          <w:szCs w:val="20"/>
          <w:color w:val="auto"/>
        </w:rPr>
      </w:pPr>
    </w:p>
    <w:p>
      <w:pPr>
        <w:ind w:left="660" w:right="3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Before the stockholder became an Interested Stockholder, the Board of Directors approved either the Business Combination or the transaction which resulted in the stockholder becoming an Interested Stockholder;</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w:t>
      </w:r>
    </w:p>
    <w:p>
      <w:pPr>
        <w:sectPr>
          <w:pgSz w:w="11900" w:h="16838" w:orient="portrait"/>
          <w:cols w:equalWidth="0" w:num="1">
            <w:col w:w="11240"/>
          </w:cols>
          <w:pgMar w:left="320" w:top="1107" w:right="339" w:bottom="1440" w:gutter="0" w:footer="0" w:header="0"/>
        </w:sectPr>
      </w:pPr>
    </w:p>
    <w:bookmarkStart w:id="87" w:name="page88"/>
    <w:bookmarkEnd w:id="87"/>
    <w:p>
      <w:pPr>
        <w:ind w:left="660"/>
        <w:spacing w:after="0" w:line="277" w:lineRule="auto"/>
        <w:rPr>
          <w:sz w:val="20"/>
          <w:szCs w:val="20"/>
          <w:color w:val="auto"/>
        </w:rPr>
      </w:pPr>
      <w:r>
        <w:rPr>
          <w:rFonts w:ascii="Arial" w:cs="Arial" w:eastAsia="Arial" w:hAnsi="Arial"/>
          <w:sz w:val="18"/>
          <w:szCs w:val="18"/>
          <w:color w:val="auto"/>
        </w:rPr>
        <w:t>commenced, excluding for purposes of determining the voting stock outstanding, shares owned by persons who are directors and also officers, and employee stock plans, in some instances; or</w:t>
      </w:r>
    </w:p>
    <w:p>
      <w:pPr>
        <w:spacing w:after="0" w:line="143" w:lineRule="exact"/>
        <w:rPr>
          <w:sz w:val="20"/>
          <w:szCs w:val="20"/>
          <w:color w:val="auto"/>
        </w:rPr>
      </w:pPr>
    </w:p>
    <w:p>
      <w:pPr>
        <w:ind w:left="660" w:right="20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or after the time the stockholder became an Interested Stockholder,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4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DGCL permits a corporation to opt out of, or choose not to be governed by, its anti-takeover statute by expressly stating so in its original certificate of incorporation (or subsequent amendment to its certificate of incorporation or bylaws approved by its stockholders). The Certificate of Incorporation does not contain a provision expressly opting out of the application of Section 203 of the DGCL; therefore, the Company is subject to the anti-takeover statute.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9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Company’s By-laws provide that a special meeting of stockholders may be called only by the Chairman or the Chief Executive Officer and shall be called by either such officer upon the written request of a majority of the Board of Directors or by a committee of the Board of Directors which has been duly designated by the Board of Directors, and whose powers and authority, as expressly provided in a resolution of the Board of Directors, include the power to call such meetings.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Unanimous Written Consent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Certificate of Incorporation provides that all stockholder action by written consent must be unanimous.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Stockholder Business Proposals and Nominations</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By-laws include an advance notice procedure for stockholder proposals to be brought before an annual meeting of stockholders, including proposed nominations of candidates for election to the Board of Directors. Stockholders at an annual meeting will only be able to consider proposals or nominations specified in the notice of meeting or brought before the meeting by or at the direction of the Board of Directors, or by a stockholder that has delivered timely written notice in proper form to the Company’s secretary of the business or mailed to and received at the principal executive office of the Company to be brought before the meeting. These provisions could have the effect of delaying stockholder actions that may be favored by the holders of a majority of the Company’s outstanding voting securities until the next stockholder meeting, or may discourage or deter a potential acquirer from conducting a solicitation of proxies to elect its own slate of directors or otherwise attempt to obtain control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Certificate of Incorporation provides that directors will be divided into three classes and elected for staggered terms. At each annual meeting, approximately one third of the directors will be elected to serve a three-year term. Directors serving staggered terms can be removed from office only for cause.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Board of Directors has the power to issue any or all of the shares of the Company’s capital stock, including the authority to establish one or more series of Preferred Stock and to fix the powers, preferences, rights and limitations of such class or series, without seeking stockholder approval, and the right to fill vacancies of the Board of Directors (including a vacancy created by an increase in the size of the Board of Directors). Under the Certificate of Incorporation, the Company’s Board of Directors has the authority to adopt and change the By-laws upon the affirmative vote of the number of directors which shall constitute, under the provisions of the Company’s By-laws, the action of the Board of Directors.</w:t>
      </w:r>
    </w:p>
    <w:p>
      <w:pPr>
        <w:sectPr>
          <w:pgSz w:w="11900" w:h="16838" w:orient="portrait"/>
          <w:cols w:equalWidth="0" w:num="1">
            <w:col w:w="11220"/>
          </w:cols>
          <w:pgMar w:left="320" w:top="1111" w:right="3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500" w:type="dxa"/>
            <w:vAlign w:val="bottom"/>
          </w:tcPr>
          <w:p>
            <w:pPr>
              <w:spacing w:after="0"/>
              <w:rPr>
                <w:sz w:val="24"/>
                <w:szCs w:val="24"/>
                <w:color w:val="auto"/>
              </w:rPr>
            </w:pPr>
          </w:p>
        </w:tc>
        <w:tc>
          <w:tcPr>
            <w:tcW w:w="7680" w:type="dxa"/>
            <w:vAlign w:val="bottom"/>
            <w:gridSpan w:val="3"/>
          </w:tcPr>
          <w:p>
            <w:pPr>
              <w:ind w:left="760"/>
              <w:spacing w:after="0"/>
              <w:rPr>
                <w:sz w:val="20"/>
                <w:szCs w:val="20"/>
                <w:color w:val="auto"/>
              </w:rPr>
            </w:pPr>
            <w:r>
              <w:rPr>
                <w:rFonts w:ascii="Arial" w:cs="Arial" w:eastAsia="Arial" w:hAnsi="Arial"/>
                <w:sz w:val="22"/>
                <w:szCs w:val="22"/>
                <w:b w:val="1"/>
                <w:bCs w:val="1"/>
                <w:color w:val="auto"/>
              </w:rPr>
              <w:t>Subsidiaries of the Company</w:t>
            </w:r>
          </w:p>
        </w:tc>
      </w:tr>
      <w:tr>
        <w:trPr>
          <w:trHeight w:val="58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Accelerated Concepts,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Florida,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Accelerated Concepts Pty Ltd.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Australia</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Ctek,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California,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Digi International Canada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Ontario, Canada</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Digi International GmbH</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Digi International (HK) Ltd.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Hong Kong</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Digi International Kabushikikaisha</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Japan</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Digi International Limited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Digi International Spain S.A.</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Spain</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Digi m2m Solutions India Pvt. Ltd.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Digi Wireless Singapore Pte. Ltd.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Singapore</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Digi SmartSense,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FreshTemp,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Pennsylvania,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Haxiot,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ITK International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Kick Wireless,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SMART Temps,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Indiana,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Opengear,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Utah,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Opengear Limited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England/Wales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Opengear Pty Ltd.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Australia</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VClipz,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Ventus Global Communications,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Ventus Holdings,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Ventus IP Holdings,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Ventus Networks,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Connecticut,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Ventus Technologies, LLC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Ventus Wireless Services CA,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California, United States</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Ventus Wireless Services, Inc.</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Ventus Wireless, LLC</w:t>
            </w:r>
          </w:p>
        </w:tc>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Delaware, United States</w:t>
            </w:r>
          </w:p>
        </w:tc>
      </w:tr>
    </w:tbl>
    <w:p>
      <w:pPr>
        <w:sectPr>
          <w:pgSz w:w="11900" w:h="16838" w:orient="portrait"/>
          <w:cols w:equalWidth="0" w:num="1">
            <w:col w:w="11200"/>
          </w:cols>
          <w:pgMar w:left="36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23</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have issued our reports dated November 24, 2021, with respect to the consolidated financial statements and internal control over financial reporting included in the Annual Report of Digi International Inc. on Form 10-K for the year ended September 30, 2021. We consent to the incorporation by reference of said reports in this Registration Statements of Digi International Inc. on Form S-3 (File No. 333-253781) and Forms S-8 (File Nos. 333-187949, 333-144872, 333-169427, 333-169428, 333-194518, 333-194522, 333-209958, 333-218002, 333-225308, 333-231365, 333-256288 and 333-238614).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Minneapolis, Minnesota</w:t>
      </w:r>
    </w:p>
    <w:p>
      <w:pPr>
        <w:spacing w:after="0"/>
        <w:rPr>
          <w:sz w:val="20"/>
          <w:szCs w:val="20"/>
          <w:color w:val="auto"/>
        </w:rPr>
      </w:pPr>
      <w:r>
        <w:rPr>
          <w:rFonts w:ascii="Arial" w:cs="Arial" w:eastAsia="Arial" w:hAnsi="Arial"/>
          <w:sz w:val="20"/>
          <w:szCs w:val="20"/>
          <w:color w:val="auto"/>
        </w:rPr>
        <w:t>November 24, 2021</w:t>
      </w:r>
    </w:p>
    <w:p>
      <w:pPr>
        <w:sectPr>
          <w:pgSz w:w="11900" w:h="16838" w:orient="portrait"/>
          <w:cols w:equalWidth="0" w:num="1">
            <w:col w:w="11240"/>
          </w:cols>
          <w:pgMar w:left="320" w:top="85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undersigned director of Digi International Inc., a Delaware corporation, does hereby make, constitute and appoint James J. Loch and David H. Sampsell,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hereunto set the undersigned’s hand this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Ronald E. Konezny</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Ronald E. Konezny</w:t>
      </w:r>
    </w:p>
    <w:p>
      <w:pPr>
        <w:sectPr>
          <w:pgSz w:w="11900" w:h="16838" w:orient="portrait"/>
          <w:cols w:equalWidth="0" w:num="1">
            <w:col w:w="11240"/>
          </w:cols>
          <w:pgMar w:left="320" w:top="612"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hereunto set the undersigned’s hand this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Satbir Khanuja</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Satbir Khanuja</w:t>
      </w:r>
    </w:p>
    <w:p>
      <w:pPr>
        <w:sectPr>
          <w:pgSz w:w="11900" w:h="16838" w:orient="portrait"/>
          <w:cols w:equalWidth="0" w:num="1">
            <w:col w:w="11240"/>
          </w:cols>
          <w:pgMar w:left="320" w:top="612"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hereunto set the undersigned’s hand this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Christopher D. Heim</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Christopher D. Heim</w:t>
      </w:r>
    </w:p>
    <w:p>
      <w:pPr>
        <w:sectPr>
          <w:pgSz w:w="11900" w:h="16838" w:orient="portrait"/>
          <w:cols w:equalWidth="0" w:num="1">
            <w:col w:w="11240"/>
          </w:cols>
          <w:pgMar w:left="320" w:top="612"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hereunto set the undersigned’s hand this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Hatem H. Naguib</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Hatem H. Naguib</w:t>
      </w:r>
    </w:p>
    <w:p>
      <w:pPr>
        <w:sectPr>
          <w:pgSz w:w="11900" w:h="16838" w:orient="portrait"/>
          <w:cols w:equalWidth="0" w:num="1">
            <w:col w:w="11240"/>
          </w:cols>
          <w:pgMar w:left="320" w:top="612"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hereunto set the undersigned’s hand this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Sally J. Smith</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Sally J. Smith</w:t>
      </w:r>
    </w:p>
    <w:p>
      <w:pPr>
        <w:sectPr>
          <w:pgSz w:w="11900" w:h="16838" w:orient="portrait"/>
          <w:cols w:equalWidth="0" w:num="1">
            <w:col w:w="11240"/>
          </w:cols>
          <w:pgMar w:left="320" w:top="61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hereunto set the undersigned’s hand this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Spiro C. Lazarakis</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Spiro C. Lazarakis</w:t>
      </w:r>
    </w:p>
    <w:p>
      <w:pPr>
        <w:sectPr>
          <w:pgSz w:w="11900" w:h="16838" w:orient="portrait"/>
          <w:cols w:equalWidth="0" w:num="1">
            <w:col w:w="11240"/>
          </w:cols>
          <w:pgMar w:left="320" w:top="612"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60" w:firstLine="8"/>
        <w:spacing w:after="0" w:line="277" w:lineRule="auto"/>
        <w:tabs>
          <w:tab w:leader="none" w:pos="2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November 24, 2021</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Ronald E. Konezny</w:t>
            </w:r>
          </w:p>
        </w:tc>
      </w:tr>
      <w:tr>
        <w:trPr>
          <w:trHeight w:val="222"/>
        </w:trPr>
        <w:tc>
          <w:tcPr>
            <w:tcW w:w="50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Ronald E. Konezny</w:t>
            </w:r>
          </w:p>
        </w:tc>
      </w:tr>
      <w:tr>
        <w:trPr>
          <w:trHeight w:val="230"/>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bl>
    <w:p>
      <w:pPr>
        <w:sectPr>
          <w:pgSz w:w="11900" w:h="16838" w:orient="portrait"/>
          <w:cols w:equalWidth="0" w:num="1">
            <w:col w:w="11240"/>
          </w:cols>
          <w:pgMar w:left="320" w:top="113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60" w:firstLine="8"/>
        <w:spacing w:after="0" w:line="277" w:lineRule="auto"/>
        <w:tabs>
          <w:tab w:leader="none" w:pos="2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November 24, 2021</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J. Loch</w:t>
            </w:r>
          </w:p>
        </w:tc>
      </w:tr>
      <w:tr>
        <w:trPr>
          <w:trHeight w:val="222"/>
        </w:trPr>
        <w:tc>
          <w:tcPr>
            <w:tcW w:w="50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James J. Loch</w:t>
            </w:r>
          </w:p>
        </w:tc>
      </w:tr>
      <w:tr>
        <w:trPr>
          <w:trHeight w:val="230"/>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240"/>
          </w:cols>
          <w:pgMar w:left="320" w:top="113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No. 32</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 each of the undersigned certifies that:</w:t>
      </w:r>
    </w:p>
    <w:p>
      <w:pPr>
        <w:spacing w:after="0" w:line="252" w:lineRule="exact"/>
        <w:rPr>
          <w:sz w:val="20"/>
          <w:szCs w:val="20"/>
          <w:color w:val="auto"/>
        </w:rPr>
      </w:pPr>
    </w:p>
    <w:p>
      <w:pPr>
        <w:ind w:right="520" w:firstLine="8"/>
        <w:spacing w:after="0" w:line="277" w:lineRule="auto"/>
        <w:tabs>
          <w:tab w:leader="none" w:pos="2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September 30, 2021 (the "Report") fully complies with the requirements of section 13(a) or 15(d) of the Securities Exchange Act of 1934 (15 U.S.C. 78m or 78o(d)); and</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2021</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Ronald E. Konezny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Chief Executive Officer and Director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2021</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J. Loch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lowerLetter"/>
      <w:start w:val="1"/>
    </w:lvl>
    <w:lvl w:ilvl="1">
      <w:lvlJc w:val="left"/>
      <w:lvlText w:val="%2."/>
      <w:numFmt w:val="decimal"/>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lvl w:ilvl="1">
      <w:lvlJc w:val="left"/>
      <w:lvlText w:val="(%2)"/>
      <w:numFmt w:val="decimal"/>
      <w:start w:val="1"/>
    </w:lvl>
  </w:abstractNum>
  <w:abstractNum w:abstractNumId="39">
    <w:nsid w:val="6DE91B18"/>
    <w:multiLevelType w:val="hybridMultilevel"/>
    <w:lvl w:ilvl="0">
      <w:lvlJc w:val="left"/>
      <w:lvlText w:val="(%1)"/>
      <w:numFmt w:val="decimal"/>
      <w:start w:val="3"/>
    </w:lvl>
    <w:lvl w:ilvl="1">
      <w:lvlJc w:val="left"/>
      <w:lvlText w:val="(%2)"/>
      <w:numFmt w:val="decimal"/>
      <w:start w:val="4"/>
    </w:lvl>
  </w:abstractNum>
  <w:abstractNum w:abstractNumId="40">
    <w:nsid w:val="38437FDB"/>
    <w:multiLevelType w:val="hybridMultilevel"/>
    <w:lvl w:ilvl="0">
      <w:lvlJc w:val="left"/>
      <w:lvlText w:val="(%1)"/>
      <w:numFmt w:val="decimal"/>
      <w:start w:val="11"/>
    </w:lvl>
  </w:abstractNum>
  <w:abstractNum w:abstractNumId="41">
    <w:nsid w:val="7644A45C"/>
    <w:multiLevelType w:val="hybridMultilevel"/>
    <w:lvl w:ilvl="0">
      <w:lvlJc w:val="left"/>
      <w:lvlText w:val="(%1)"/>
      <w:numFmt w:val="decimal"/>
      <w:start w:val="45"/>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5"/>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decimal"/>
      <w:start w:val="5"/>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41" Type="http://schemas.openxmlformats.org/officeDocument/2006/relationships/hyperlink" Target="https://www.sec.gov/ix?doc=/Archives/edgar/data/0000854775/000085477520000032/dgii-20200930.htm" TargetMode="External"/><Relationship Id="rId107" Type="http://schemas.openxmlformats.org/officeDocument/2006/relationships/hyperlink" Target="http://www.sec.gov/Archives/edgar/data/854775/000119312517319329/d484113dex21.htm" TargetMode="External"/><Relationship Id="rId108" Type="http://schemas.openxmlformats.org/officeDocument/2006/relationships/hyperlink" Target="http://www.sec.gov/Archives/edgar/data/854775/000110465919061365/a19-22109_1ex2d1.htm" TargetMode="External"/><Relationship Id="rId109" Type="http://schemas.openxmlformats.org/officeDocument/2006/relationships/hyperlink" Target="http://www.sec.gov/Archives/edgar/data/0000854775/000110465921132717/tm2131473d1_ex2-1.htm" TargetMode="External"/><Relationship Id="rId110" Type="http://schemas.openxmlformats.org/officeDocument/2006/relationships/hyperlink" Target="http://www.sec.gov/Archives/edgar/data/854775/000110465920054438/tm2018116d1_ex3-1.htm" TargetMode="External"/><Relationship Id="rId111" Type="http://schemas.openxmlformats.org/officeDocument/2006/relationships/hyperlink" Target="http://www.sec.gov/Archives/edgar/data/854775/000085477520000009/dgii-ex10a2020331x10q.htm" TargetMode="External"/><Relationship Id="rId112" Type="http://schemas.openxmlformats.org/officeDocument/2006/relationships/hyperlink" Target="http://www.sec.gov/Archives/edgar/data/854775/000095012310006802/c55918exv10wa.htm" TargetMode="External"/><Relationship Id="rId113" Type="http://schemas.openxmlformats.org/officeDocument/2006/relationships/hyperlink" Target="http://www.sec.gov/Archives/edgar/data/854775/000095013708014268/c47615exv10wxoy.htm" TargetMode="External"/><Relationship Id="rId114" Type="http://schemas.openxmlformats.org/officeDocument/2006/relationships/hyperlink" Target="http://www.sec.gov/Archives/edgar/data/854775/000095012311100985/c25037exv10wxeyxiiy.htm" TargetMode="External"/><Relationship Id="rId115" Type="http://schemas.openxmlformats.org/officeDocument/2006/relationships/hyperlink" Target="http://www.sec.gov/Archives/edgar/data/854775/000119312513157065/d520780dex99.htm" TargetMode="External"/><Relationship Id="rId116" Type="http://schemas.openxmlformats.org/officeDocument/2006/relationships/hyperlink" Target="http://www.sec.gov/Archives/edgar/data/854775/000085477513000008/dgii-ex10ai_2013331x10q.htm" TargetMode="External"/><Relationship Id="rId117" Type="http://schemas.openxmlformats.org/officeDocument/2006/relationships/hyperlink" Target="http://www.sec.gov/Archives/edgar/data/854775/000119312514095850/d691187dex99.htm" TargetMode="External"/><Relationship Id="rId118" Type="http://schemas.openxmlformats.org/officeDocument/2006/relationships/hyperlink" Target="http://www.sec.gov/Archives/edgar/data/854775/000085477514000010/dgii-ex10bi_2014331x10q.htm" TargetMode="External"/><Relationship Id="rId119" Type="http://schemas.openxmlformats.org/officeDocument/2006/relationships/hyperlink" Target="http://www.sec.gov/Archives/edgar/data/854775/000085477514000014/dgii-ex10a_2014630x10q.htm" TargetMode="External"/><Relationship Id="rId122" Type="http://schemas.openxmlformats.org/officeDocument/2006/relationships/hyperlink" Target="http://www.sec.gov/Archives/edgar/data/854775/000119312515401474/d106303ddef14a.htm" TargetMode="External"/><Relationship Id="rId123" Type="http://schemas.openxmlformats.org/officeDocument/2006/relationships/hyperlink" Target="http://www.sec.gov/Archives/edgar/data/854775/000085477516000030/dgii-ex10aii_2016331x10q.htm" TargetMode="External"/><Relationship Id="rId124" Type="http://schemas.openxmlformats.org/officeDocument/2006/relationships/hyperlink" Target="http://www.sec.gov/Archives/edgar/data/854775/000085477516000030/dgii-ex10aiii_2016331x10q.htm" TargetMode="External"/><Relationship Id="rId125" Type="http://schemas.openxmlformats.org/officeDocument/2006/relationships/hyperlink" Target="http://www.sec.gov/Archives/edgar/data/854775/000085477516000030/dgii-ex10aiv_2016331x10q.htm" TargetMode="External"/><Relationship Id="rId126" Type="http://schemas.openxmlformats.org/officeDocument/2006/relationships/hyperlink" Target="http://www.sec.gov/Archives/edgar/data/854775/000085477516000044/a2016proxystatement.htm" TargetMode="External"/><Relationship Id="rId127" Type="http://schemas.openxmlformats.org/officeDocument/2006/relationships/hyperlink" Target="http://www.sec.gov/Archives/edgar/data/854775/000085477517000009/dgii-ex10bii_2017331x10q.htm" TargetMode="External"/><Relationship Id="rId128" Type="http://schemas.openxmlformats.org/officeDocument/2006/relationships/hyperlink" Target="http://www.sec.gov/Archives/edgar/data/854775/000085477517000009/dgii-ex10biii_2017331x10q.htm" TargetMode="External"/><Relationship Id="rId129" Type="http://schemas.openxmlformats.org/officeDocument/2006/relationships/hyperlink" Target="http://www.sec.gov/Archives/edgar/data/854775/000085477517000009/dgii-ex10biv_2017331x10q.htm" TargetMode="External"/><Relationship Id="rId130" Type="http://schemas.openxmlformats.org/officeDocument/2006/relationships/hyperlink" Target="http://www.sec.gov/Archives/edgar/data/854775/000104746917007566/a2234007zdef14a.htm" TargetMode="External"/><Relationship Id="rId131" Type="http://schemas.openxmlformats.org/officeDocument/2006/relationships/hyperlink" Target="http://www.sec.gov/Archives/edgar/data/854775/000085477518000011/dgii-ex10ai_2018331x10xq.htm" TargetMode="External"/><Relationship Id="rId132" Type="http://schemas.openxmlformats.org/officeDocument/2006/relationships/hyperlink" Target="http://www.sec.gov/Archives/edgar/data/854775/000085477518000011/dgii-ex10aii_2018331x10xq.htm" TargetMode="External"/><Relationship Id="rId133" Type="http://schemas.openxmlformats.org/officeDocument/2006/relationships/hyperlink" Target="http://www.sec.gov/Archives/edgar/data/854775/000085477518000011/dgii-ex10aiii_2018331x10xq.htm" TargetMode="External"/><Relationship Id="rId134" Type="http://schemas.openxmlformats.org/officeDocument/2006/relationships/hyperlink" Target="http://www.sec.gov/Archives/edgar/data/854775/000085477518000011/dgii-ex10aiv_2018331x10xq.htm" TargetMode="External"/><Relationship Id="rId135" Type="http://schemas.openxmlformats.org/officeDocument/2006/relationships/hyperlink" Target="http://www.sec.gov/Archives/edgar/data/854775/000104746918007674/a2237351zdef14a.htm" TargetMode="External"/><Relationship Id="rId136" Type="http://schemas.openxmlformats.org/officeDocument/2006/relationships/hyperlink" Target="http://www.sec.gov/Archives/edgar/data/854775/000085477519000010/dgii-ex10ai_2019331x10xq.htm" TargetMode="External"/><Relationship Id="rId137" Type="http://schemas.openxmlformats.org/officeDocument/2006/relationships/hyperlink" Target="http://www.sec.gov/Archives/edgar/data/854775/000085477519000010/dgii-ex10aii_2019331x10xq.htm" TargetMode="External"/><Relationship Id="rId138" Type="http://schemas.openxmlformats.org/officeDocument/2006/relationships/hyperlink" Target="http://www.sec.gov/Archives/edgar/data/854775/000085477519000010/dgii-ex10aiii_2019331x10xq.htm" TargetMode="External"/><Relationship Id="rId139" Type="http://schemas.openxmlformats.org/officeDocument/2006/relationships/hyperlink" Target="http://www.sec.gov/Archives/edgar/data/854775/000085477519000010/dgii-ex10aiv_2019331x10xq.htm" TargetMode="External"/><Relationship Id="rId140" Type="http://schemas.openxmlformats.org/officeDocument/2006/relationships/hyperlink" Target="http://www.sec.gov/Archives/edgar/data/854775/000085477520000009/dgii-ex10b2020331x10q.htm" TargetMode="External"/><Relationship Id="rId141" Type="http://schemas.openxmlformats.org/officeDocument/2006/relationships/hyperlink" Target="http://www.sec.gov/Archives/edgar/data/854775/000085477520000009/dgii-ex10bi2020331x10q.htm" TargetMode="External"/><Relationship Id="rId142" Type="http://schemas.openxmlformats.org/officeDocument/2006/relationships/hyperlink" Target="http://www.sec.gov/Archives/edgar/data/854775/000085477520000009/dgii-ex10bii2020331x10q.htm" TargetMode="External"/><Relationship Id="rId143" Type="http://schemas.openxmlformats.org/officeDocument/2006/relationships/hyperlink" Target="http://www.sec.gov/Archives/edgar/data/854775/000085477520000009/dgii-ex10biii2020331x1.htm" TargetMode="External"/><Relationship Id="rId144" Type="http://schemas.openxmlformats.org/officeDocument/2006/relationships/hyperlink" Target="http://www.sec.gov/Archives/edgar/data/854775/000085477520000009/dgii-ex10biv2020331x10q.htm" TargetMode="External"/><Relationship Id="rId145" Type="http://schemas.openxmlformats.org/officeDocument/2006/relationships/hyperlink" Target="http://www.sec.gov/Archives/edgar/data/854775/000085477520000009/dgii-ex10bv2020331x10q.htm" TargetMode="External"/><Relationship Id="rId146" Type="http://schemas.openxmlformats.org/officeDocument/2006/relationships/hyperlink" Target="http://www.sec.gov/Archives/edgar/data/0000854775/000110465921012288/tm215266d1_10-1.htm" TargetMode="External"/><Relationship Id="rId147" Type="http://schemas.openxmlformats.org/officeDocument/2006/relationships/hyperlink" Target="http://www.sec.gov/Archives/edgar/data/0000854775/000085477521000014/dgii-ex10b_2021331x10q.htm" TargetMode="External"/><Relationship Id="rId150" Type="http://schemas.openxmlformats.org/officeDocument/2006/relationships/hyperlink" Target="http://www.sec.gov/Archives/edgar/data/0000854775/000085477521000014/dgii-ex10c_2021331x10q.htm" TargetMode="External"/><Relationship Id="rId151" Type="http://schemas.openxmlformats.org/officeDocument/2006/relationships/hyperlink" Target="http://www.sec.gov/Archives/edgar/data/0000854775/000085477521000014/dgii-ex10d_2021331x10q.htm" TargetMode="External"/><Relationship Id="rId152" Type="http://schemas.openxmlformats.org/officeDocument/2006/relationships/hyperlink" Target="http://www.sec.gov/Archives/edgar/data/0000854775/000085477521000014/dgii-ex10e_2021331x10q.htm" TargetMode="External"/><Relationship Id="rId153" Type="http://schemas.openxmlformats.org/officeDocument/2006/relationships/hyperlink" Target="http://www.sec.gov/Archives/edgar/data/0000854775/000085477521000014/dgii-ex10f_2021331x10q.htm" TargetMode="External"/><Relationship Id="rId154" Type="http://schemas.openxmlformats.org/officeDocument/2006/relationships/hyperlink" Target="http://www.sec.gov/Archives/edgar/data/0000854775/000085477521000014/dgii-ex10g_2021331x10q.htm" TargetMode="External"/><Relationship Id="rId155" Type="http://schemas.openxmlformats.org/officeDocument/2006/relationships/hyperlink" Target="http://www.sec.gov/Archives/edgar/data/854775/000095012310075076/c04585exv10.htm" TargetMode="External"/><Relationship Id="rId156" Type="http://schemas.openxmlformats.org/officeDocument/2006/relationships/hyperlink" Target="http://www.sec.gov/Archives/edgar/data/854775/000129993314001873/exhibit2.htm" TargetMode="External"/><Relationship Id="rId157" Type="http://schemas.openxmlformats.org/officeDocument/2006/relationships/hyperlink" Target="http://www.sec.gov/Archives/edgar/data/854775/000085477513000020/dgii-ex10m_2013930x10k.htm" TargetMode="External"/><Relationship Id="rId158" Type="http://schemas.openxmlformats.org/officeDocument/2006/relationships/hyperlink" Target="http://www.sec.gov/Archives/edgar/data/854775/000085477517000009/dgii-ex10a_2017331x10q.htm" TargetMode="External"/><Relationship Id="rId159" Type="http://schemas.openxmlformats.org/officeDocument/2006/relationships/hyperlink" Target="http://www.sec.gov/Archives/edgar/data/854775/000085477519000022/dgii-ex10o_2019930x10k.htm" TargetMode="External"/><Relationship Id="rId160" Type="http://schemas.openxmlformats.org/officeDocument/2006/relationships/hyperlink" Target="http://www.sec.gov/Archives/edgar/data/854775/000085477518000020/dgii-ex10o_2018930x10k.htm" TargetMode="External"/><Relationship Id="rId161" Type="http://schemas.openxmlformats.org/officeDocument/2006/relationships/hyperlink" Target="http://www.sec.gov/Archives/edgar/data/854775/000110465919028669/a19-9649_3ex10d1.htm" TargetMode="External"/><Relationship Id="rId162" Type="http://schemas.openxmlformats.org/officeDocument/2006/relationships/hyperlink" Target="http://www.sec.gov/Archives/edgar/data/0000854775/000110465921039097/tm2110056d1_ex10-1.htm" TargetMode="External"/><Relationship Id="rId163" Type="http://schemas.openxmlformats.org/officeDocument/2006/relationships/hyperlink" Target="http://www.sec.gov/Archives/edgar/data/0000854775/000110465921132717/tm213147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2021-11-24T14:26:20Z</dcterms:created>
  <dcterms:modified xsi:type="dcterms:W3CDTF">2021-11-24T14:26:20Z</dcterms:modified>
</cp:coreProperties>
</file>