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6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635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SNYDER STEVEN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11001 BREN ROAD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DIGI INTERNATIONAL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DGII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11/22/2011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6"/>
        <w:spacing w:after="0"/>
        <w:rPr>
          <w:sz w:val="20"/>
          <w:szCs w:val="20"/>
          <w:color w:val="auto"/>
        </w:rPr>
      </w:pPr>
      <w:r>
        <w:rPr>
          <w:rFonts w:ascii="Arial" w:cs="Arial" w:eastAsia="Arial" w:hAnsi="Arial"/>
          <w:sz w:val="17"/>
          <w:szCs w:val="17"/>
          <w:color w:val="0000FF"/>
        </w:rPr>
        <w:t>SVP, CFO &amp; Treasurer</w:t>
      </w:r>
    </w:p>
    <w:p>
      <w:pPr>
        <w:spacing w:after="0" w:line="333" w:lineRule="exact"/>
        <w:rPr>
          <w:sz w:val="24"/>
          <w:szCs w:val="24"/>
          <w:color w:val="auto"/>
        </w:rPr>
      </w:pPr>
    </w:p>
    <w:p>
      <w:pPr>
        <w:sectPr>
          <w:pgSz w:w="11900" w:h="16838" w:orient="portrait"/>
          <w:cols w:equalWidth="0" w:num="3">
            <w:col w:w="3360" w:space="720"/>
            <w:col w:w="3300" w:space="67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MINNETONKA MN</w:t>
            </w:r>
          </w:p>
        </w:tc>
        <w:tc>
          <w:tcPr>
            <w:tcW w:w="1680" w:type="dxa"/>
            <w:vAlign w:val="bottom"/>
          </w:tcPr>
          <w:p>
            <w:pPr>
              <w:ind w:left="440"/>
              <w:spacing w:after="0"/>
              <w:rPr>
                <w:sz w:val="20"/>
                <w:szCs w:val="20"/>
                <w:color w:val="auto"/>
              </w:rPr>
            </w:pPr>
            <w:r>
              <w:rPr>
                <w:rFonts w:ascii="Arial" w:cs="Arial" w:eastAsia="Arial" w:hAnsi="Arial"/>
                <w:sz w:val="17"/>
                <w:szCs w:val="17"/>
                <w:color w:val="0000FF"/>
              </w:rPr>
              <w:t>55343</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4,236.214</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60,000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ind w:right="1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10.63</w:t>
            </w:r>
          </w:p>
        </w:tc>
        <w:tc>
          <w:tcPr>
            <w:tcW w:w="1080" w:type="dxa"/>
            <w:vAlign w:val="bottom"/>
          </w:tcPr>
          <w:p>
            <w:pPr>
              <w:jc w:val="right"/>
              <w:ind w:right="137"/>
              <w:spacing w:after="0" w:line="132" w:lineRule="exact"/>
              <w:rPr>
                <w:sz w:val="20"/>
                <w:szCs w:val="20"/>
                <w:color w:val="auto"/>
              </w:rPr>
            </w:pPr>
            <w:r>
              <w:rPr>
                <w:rFonts w:ascii="Arial" w:cs="Arial" w:eastAsia="Arial" w:hAnsi="Arial"/>
                <w:sz w:val="13"/>
                <w:szCs w:val="13"/>
                <w:color w:val="0000FF"/>
              </w:rPr>
              <w:t>11/22/2011</w:t>
            </w:r>
          </w:p>
        </w:tc>
        <w:tc>
          <w:tcPr>
            <w:tcW w:w="1180" w:type="dxa"/>
            <w:vAlign w:val="bottom"/>
          </w:tcPr>
          <w:p>
            <w:pPr>
              <w:spacing w:after="0"/>
              <w:rPr>
                <w:sz w:val="11"/>
                <w:szCs w:val="11"/>
                <w:color w:val="auto"/>
              </w:rPr>
            </w:pPr>
          </w:p>
        </w:tc>
        <w:tc>
          <w:tcPr>
            <w:tcW w:w="780" w:type="dxa"/>
            <w:vAlign w:val="bottom"/>
          </w:tcPr>
          <w:p>
            <w:pPr>
              <w:ind w:left="160"/>
              <w:spacing w:after="0" w:line="132" w:lineRule="exact"/>
              <w:rPr>
                <w:sz w:val="20"/>
                <w:szCs w:val="20"/>
                <w:color w:val="auto"/>
              </w:rPr>
            </w:pPr>
            <w:r>
              <w:rPr>
                <w:rFonts w:ascii="Arial" w:cs="Arial" w:eastAsia="Arial" w:hAnsi="Arial"/>
                <w:sz w:val="13"/>
                <w:szCs w:val="13"/>
                <w:color w:val="0000FF"/>
              </w:rPr>
              <w:t>M</w:t>
            </w:r>
          </w:p>
        </w:tc>
        <w:tc>
          <w:tcPr>
            <w:tcW w:w="580" w:type="dxa"/>
            <w:vAlign w:val="bottom"/>
          </w:tcPr>
          <w:p>
            <w:pPr>
              <w:ind w:left="140"/>
              <w:spacing w:after="0" w:line="132" w:lineRule="exact"/>
              <w:rPr>
                <w:sz w:val="20"/>
                <w:szCs w:val="20"/>
                <w:color w:val="auto"/>
              </w:rPr>
            </w:pPr>
            <w:r>
              <w:rPr>
                <w:rFonts w:ascii="Arial" w:cs="Arial" w:eastAsia="Arial" w:hAnsi="Arial"/>
                <w:sz w:val="13"/>
                <w:szCs w:val="13"/>
                <w:color w:val="0000FF"/>
              </w:rPr>
              <w:t>60,000</w:t>
            </w:r>
          </w:p>
        </w:tc>
        <w:tc>
          <w:tcPr>
            <w:tcW w:w="3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11/22/2021</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80" w:type="dxa"/>
            <w:vAlign w:val="bottom"/>
            <w:gridSpan w:val="2"/>
          </w:tcPr>
          <w:p>
            <w:pPr>
              <w:ind w:left="2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60,000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55,000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ind w:right="1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9.35</w:t>
            </w:r>
          </w:p>
        </w:tc>
        <w:tc>
          <w:tcPr>
            <w:tcW w:w="1080" w:type="dxa"/>
            <w:vAlign w:val="bottom"/>
          </w:tcPr>
          <w:p>
            <w:pPr>
              <w:jc w:val="right"/>
              <w:ind w:right="137"/>
              <w:spacing w:after="0" w:line="132" w:lineRule="exact"/>
              <w:rPr>
                <w:sz w:val="20"/>
                <w:szCs w:val="20"/>
                <w:color w:val="auto"/>
              </w:rPr>
            </w:pPr>
            <w:r>
              <w:rPr>
                <w:rFonts w:ascii="Arial" w:cs="Arial" w:eastAsia="Arial" w:hAnsi="Arial"/>
                <w:sz w:val="13"/>
                <w:szCs w:val="13"/>
                <w:color w:val="0000FF"/>
              </w:rPr>
              <w:t>11/20/2012</w:t>
            </w:r>
          </w:p>
        </w:tc>
        <w:tc>
          <w:tcPr>
            <w:tcW w:w="1180" w:type="dxa"/>
            <w:vAlign w:val="bottom"/>
          </w:tcPr>
          <w:p>
            <w:pPr>
              <w:spacing w:after="0"/>
              <w:rPr>
                <w:sz w:val="11"/>
                <w:szCs w:val="11"/>
                <w:color w:val="auto"/>
              </w:rPr>
            </w:pPr>
          </w:p>
        </w:tc>
        <w:tc>
          <w:tcPr>
            <w:tcW w:w="780" w:type="dxa"/>
            <w:vAlign w:val="bottom"/>
          </w:tcPr>
          <w:p>
            <w:pPr>
              <w:ind w:left="160"/>
              <w:spacing w:after="0" w:line="132" w:lineRule="exact"/>
              <w:rPr>
                <w:sz w:val="20"/>
                <w:szCs w:val="20"/>
                <w:color w:val="auto"/>
              </w:rPr>
            </w:pPr>
            <w:r>
              <w:rPr>
                <w:rFonts w:ascii="Arial" w:cs="Arial" w:eastAsia="Arial" w:hAnsi="Arial"/>
                <w:sz w:val="13"/>
                <w:szCs w:val="13"/>
                <w:color w:val="0000FF"/>
              </w:rPr>
              <w:t>M</w:t>
            </w:r>
          </w:p>
        </w:tc>
        <w:tc>
          <w:tcPr>
            <w:tcW w:w="580" w:type="dxa"/>
            <w:vAlign w:val="bottom"/>
          </w:tcPr>
          <w:p>
            <w:pPr>
              <w:ind w:left="140"/>
              <w:spacing w:after="0" w:line="132" w:lineRule="exact"/>
              <w:rPr>
                <w:sz w:val="20"/>
                <w:szCs w:val="20"/>
                <w:color w:val="auto"/>
              </w:rPr>
            </w:pPr>
            <w:r>
              <w:rPr>
                <w:rFonts w:ascii="Arial" w:cs="Arial" w:eastAsia="Arial" w:hAnsi="Arial"/>
                <w:sz w:val="13"/>
                <w:szCs w:val="13"/>
                <w:color w:val="0000FF"/>
              </w:rPr>
              <w:t>55,000</w:t>
            </w:r>
          </w:p>
        </w:tc>
        <w:tc>
          <w:tcPr>
            <w:tcW w:w="3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11/20/2022</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80" w:type="dxa"/>
            <w:vAlign w:val="bottom"/>
            <w:gridSpan w:val="2"/>
          </w:tcPr>
          <w:p>
            <w:pPr>
              <w:ind w:left="2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55,000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1440" w:gutter="0" w:footer="0" w:header="0"/>
          <w:type w:val="continuous"/>
        </w:sectPr>
      </w:pP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4,236.214 shares acquired under Digi International Inc.'s Employee Stock Purchase Plan between December 31, 2010 and September 30, 2012.</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as to 25% of the shares on November 22, 2012 and thereafter in 36 monthly installments.</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as to 25% of the shares on November 20, 2013 and thereafter in 36 monthly installments.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ListExhibit 24.1 - Power of Attorney</w:t>
      </w:r>
    </w:p>
    <w:p>
      <w:pPr>
        <w:spacing w:after="0" w:line="8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Joshua L. Colburn,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974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7442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44220" cy="8255"/>
                    </a:xfrm>
                    <a:prstGeom prst="rect">
                      <a:avLst/>
                    </a:prstGeom>
                    <a:noFill/>
                  </pic:spPr>
                </pic:pic>
              </a:graphicData>
            </a:graphic>
          </wp:anchor>
        </w:drawing>
      </w:r>
    </w:p>
    <w:p>
      <w:pPr>
        <w:spacing w:after="0" w:line="54"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5"/>
          <w:szCs w:val="15"/>
          <w:color w:val="0000FF"/>
        </w:rPr>
        <w:t>11/23/2012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2" w:lineRule="exact"/>
        <w:rPr>
          <w:sz w:val="24"/>
          <w:szCs w:val="24"/>
          <w:color w:val="auto"/>
        </w:rPr>
      </w:pPr>
    </w:p>
    <w:p>
      <w:pPr>
        <w:sectPr>
          <w:pgSz w:w="11900" w:h="16838" w:orient="portrait"/>
          <w:cols w:equalWidth="0" w:num="2">
            <w:col w:w="8800" w:space="36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4559" w:firstLine="837"/>
        <w:spacing w:after="0" w:line="252" w:lineRule="auto"/>
        <w:rPr>
          <w:sz w:val="20"/>
          <w:szCs w:val="20"/>
          <w:color w:val="auto"/>
        </w:rPr>
      </w:pPr>
      <w:r>
        <w:rPr>
          <w:rFonts w:ascii="Courier New" w:cs="Courier New" w:eastAsia="Courier New" w:hAnsi="Courier New"/>
          <w:sz w:val="17"/>
          <w:szCs w:val="17"/>
          <w:color w:val="auto"/>
        </w:rPr>
        <w:t>I, Steven E. Snyder, hereby authorize and designate each of David H. Sampsell, Amy C. Seidel, Joshua L. Colburn and Julie M. Regnier signing singly, as my true and lawful attorney-in-fact to:</w:t>
      </w:r>
    </w:p>
    <w:p>
      <w:pPr>
        <w:spacing w:after="0" w:line="197" w:lineRule="exact"/>
        <w:rPr>
          <w:sz w:val="20"/>
          <w:szCs w:val="20"/>
          <w:color w:val="auto"/>
        </w:rPr>
      </w:pPr>
    </w:p>
    <w:p>
      <w:pPr>
        <w:ind w:right="3619" w:firstLine="844"/>
        <w:spacing w:after="0" w:line="250" w:lineRule="auto"/>
        <w:tabs>
          <w:tab w:leader="none" w:pos="167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my behalf, in my capacity as an officer and/or director of Digi International Inc. (the "Company"), Forms 3, 4 and 5 in accordance with Section</w:t>
      </w:r>
    </w:p>
    <w:p>
      <w:pPr>
        <w:spacing w:after="0" w:line="1" w:lineRule="exact"/>
        <w:rPr>
          <w:rFonts w:ascii="Courier New" w:cs="Courier New" w:eastAsia="Courier New" w:hAnsi="Courier New"/>
          <w:sz w:val="17"/>
          <w:szCs w:val="17"/>
          <w:color w:val="auto"/>
        </w:rPr>
      </w:pPr>
    </w:p>
    <w:p>
      <w:pPr>
        <w:ind w:right="341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16(a) of the Securities Exchange Act of 1934 (the "Exchange Act") and the rules and regulations promulgated thereunder; and other forms or reports on my behalf as may be required to file in connection with my ownership, acquisition, or disposition of securities of the Company, including Form 144;</w:t>
      </w:r>
    </w:p>
    <w:p>
      <w:pPr>
        <w:spacing w:after="0" w:line="196" w:lineRule="exact"/>
        <w:rPr>
          <w:rFonts w:ascii="Courier New" w:cs="Courier New" w:eastAsia="Courier New" w:hAnsi="Courier New"/>
          <w:sz w:val="17"/>
          <w:szCs w:val="17"/>
          <w:color w:val="auto"/>
        </w:rPr>
      </w:pPr>
    </w:p>
    <w:p>
      <w:pPr>
        <w:ind w:right="3839" w:firstLine="844"/>
        <w:spacing w:after="0" w:line="251" w:lineRule="auto"/>
        <w:tabs>
          <w:tab w:leader="none" w:pos="167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my behalf which may be necessary or desirable to complete and execute any such Form 3, 4 or 5 and timely file such form with the Securities and Exchange Commission, any stock exchange or similar authority, and the National Association of Securities Dealers; and</w:t>
      </w:r>
    </w:p>
    <w:p>
      <w:pPr>
        <w:spacing w:after="0" w:line="199" w:lineRule="exact"/>
        <w:rPr>
          <w:rFonts w:ascii="Courier New" w:cs="Courier New" w:eastAsia="Courier New" w:hAnsi="Courier New"/>
          <w:sz w:val="17"/>
          <w:szCs w:val="17"/>
          <w:color w:val="auto"/>
        </w:rPr>
      </w:pPr>
    </w:p>
    <w:p>
      <w:pPr>
        <w:ind w:right="3619" w:firstLine="844"/>
        <w:spacing w:after="0" w:line="250" w:lineRule="auto"/>
        <w:tabs>
          <w:tab w:leader="none" w:pos="167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to my benefit, in my best</w:t>
      </w:r>
    </w:p>
    <w:p>
      <w:pPr>
        <w:spacing w:after="0" w:line="1" w:lineRule="exact"/>
        <w:rPr>
          <w:rFonts w:ascii="Courier New" w:cs="Courier New" w:eastAsia="Courier New" w:hAnsi="Courier New"/>
          <w:sz w:val="17"/>
          <w:szCs w:val="17"/>
          <w:color w:val="auto"/>
        </w:rPr>
      </w:pPr>
    </w:p>
    <w:p>
      <w:pPr>
        <w:ind w:right="40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4039" w:firstLine="837"/>
        <w:spacing w:after="0" w:line="251" w:lineRule="auto"/>
        <w:rPr>
          <w:sz w:val="20"/>
          <w:szCs w:val="20"/>
          <w:color w:val="auto"/>
        </w:rPr>
      </w:pPr>
      <w:r>
        <w:rPr>
          <w:rFonts w:ascii="Courier New" w:cs="Courier New" w:eastAsia="Courier New" w:hAnsi="Courier New"/>
          <w:sz w:val="17"/>
          <w:szCs w:val="17"/>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198" w:lineRule="exact"/>
        <w:rPr>
          <w:sz w:val="20"/>
          <w:szCs w:val="20"/>
          <w:color w:val="auto"/>
        </w:rPr>
      </w:pPr>
    </w:p>
    <w:p>
      <w:pPr>
        <w:ind w:right="3519" w:firstLine="837"/>
        <w:spacing w:after="0" w:line="251" w:lineRule="auto"/>
        <w:rPr>
          <w:sz w:val="20"/>
          <w:szCs w:val="20"/>
          <w:color w:val="auto"/>
        </w:rPr>
      </w:pPr>
      <w:r>
        <w:rPr>
          <w:rFonts w:ascii="Courier New" w:cs="Courier New" w:eastAsia="Courier New" w:hAnsi="Courier New"/>
          <w:sz w:val="17"/>
          <w:szCs w:val="17"/>
          <w:color w:val="auto"/>
        </w:rPr>
        <w:t>This Power of Attorney shall remain in full force and effect until I am no longer required to file Forms 3, 4 and 5 with respect to my holdings of and transactions in securities issued by the Company, unless earlier revoked by me in a signed writing delivered to the foregoing attorneys-in-fact. Notwithstanding the foregoing, if any such attorney-in-fact hereafter ceases to be at least one of the following: (i) an employee of the Company, (ii) a partner of Faegre Baker Daniels LLP or (iii) an employee of Faegre Baker Daniels LLP, this Power of Attorney shall be automatically revoked solely as to such individual, immediately upon such cessation, without any further action on my part.</w:t>
      </w:r>
    </w:p>
    <w:p>
      <w:pPr>
        <w:spacing w:after="0" w:line="198" w:lineRule="exact"/>
        <w:rPr>
          <w:sz w:val="20"/>
          <w:szCs w:val="20"/>
          <w:color w:val="auto"/>
        </w:rPr>
      </w:pPr>
    </w:p>
    <w:p>
      <w:pPr>
        <w:ind w:right="4139" w:firstLine="837"/>
        <w:spacing w:after="0" w:line="252" w:lineRule="auto"/>
        <w:rPr>
          <w:sz w:val="20"/>
          <w:szCs w:val="20"/>
          <w:color w:val="auto"/>
        </w:rPr>
      </w:pPr>
      <w:r>
        <w:rPr>
          <w:rFonts w:ascii="Courier New" w:cs="Courier New" w:eastAsia="Courier New" w:hAnsi="Courier New"/>
          <w:sz w:val="17"/>
          <w:szCs w:val="17"/>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196" w:lineRule="exact"/>
        <w:rPr>
          <w:sz w:val="20"/>
          <w:szCs w:val="20"/>
          <w:color w:val="auto"/>
        </w:rPr>
      </w:pPr>
    </w:p>
    <w:p>
      <w:pPr>
        <w:ind w:right="4459" w:firstLine="837"/>
        <w:spacing w:after="0" w:line="253" w:lineRule="auto"/>
        <w:rPr>
          <w:sz w:val="20"/>
          <w:szCs w:val="20"/>
          <w:color w:val="auto"/>
        </w:rPr>
      </w:pPr>
      <w:r>
        <w:rPr>
          <w:rFonts w:ascii="Courier New" w:cs="Courier New" w:eastAsia="Courier New" w:hAnsi="Courier New"/>
          <w:sz w:val="17"/>
          <w:szCs w:val="17"/>
          <w:color w:val="auto"/>
        </w:rPr>
        <w:t>IN WITNESS WHEREOF, I have caused this Power of Attorney to be duly executed as of this 7th day of October, 2011.</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Steven E. Snyder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90794" TargetMode="External"/><Relationship Id="rId13" Type="http://schemas.openxmlformats.org/officeDocument/2006/relationships/hyperlink" Target="http://www.sec.gov/cgi-bin/browse-edgar?action=getcompany&amp;CIK=00008547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2019-12-17T10:29:15Z</dcterms:created>
  <dcterms:modified xsi:type="dcterms:W3CDTF">2019-12-17T10:29:15Z</dcterms:modified>
</cp:coreProperties>
</file>