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780" w:right="3939" w:hanging="772"/>
        <w:spacing w:after="0" w:line="255"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 (d) OF THE SECURITIES EXCHANGE ACT OF 1934</w:t>
      </w:r>
    </w:p>
    <w:p>
      <w:pPr>
        <w:spacing w:after="0" w:line="159"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September 30, 2000</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780" w:right="3599" w:hanging="772"/>
        <w:spacing w:after="0" w:line="255" w:lineRule="auto"/>
        <w:tabs>
          <w:tab w:leader="none" w:pos="17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 (d) OF THE SECURITIES EXCHANGE ACT OF 1934</w:t>
      </w:r>
    </w:p>
    <w:p>
      <w:pPr>
        <w:spacing w:after="0" w:line="160"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For the transition period from ---- to ----.</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Commission file number: 0-17972</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DIGI INTERNATIONAL INC.</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41-1532464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3" w:lineRule="exact"/>
        <w:rPr>
          <w:sz w:val="24"/>
          <w:szCs w:val="24"/>
          <w:color w:val="auto"/>
        </w:rPr>
      </w:pPr>
    </w:p>
    <w:p>
      <w:pPr>
        <w:sectPr>
          <w:pgSz w:w="11900" w:h="16838" w:orient="portrait"/>
          <w:cols w:equalWidth="0" w:num="2">
            <w:col w:w="3420" w:space="720"/>
            <w:col w:w="6099"/>
          </w:cols>
          <w:pgMar w:left="220" w:top="230"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11001 Bren Road East</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Minnetonka, Minnesota 55343</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(952) 912-3444</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jc w:val="center"/>
        <w:ind w:left="240" w:right="680"/>
        <w:spacing w:after="0" w:line="250" w:lineRule="auto"/>
        <w:rPr>
          <w:sz w:val="20"/>
          <w:szCs w:val="20"/>
          <w:color w:val="auto"/>
        </w:rPr>
      </w:pPr>
      <w:r>
        <w:rPr>
          <w:rFonts w:ascii="Courier New" w:cs="Courier New" w:eastAsia="Courier New" w:hAnsi="Courier New"/>
          <w:sz w:val="14"/>
          <w:szCs w:val="14"/>
          <w:color w:val="auto"/>
        </w:rPr>
        <w:t>Securities registered pursuant to Section 12(b) of the Act: None Securities registered pursuant to Section 12(g) of the Act: COMMON STOCK, $.01 PAR VALUE</w:t>
      </w:r>
    </w:p>
    <w:p>
      <w:pPr>
        <w:spacing w:after="0" w:line="1"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(Title of each class)</w:t>
      </w:r>
    </w:p>
    <w:p>
      <w:pPr>
        <w:spacing w:after="0" w:line="173" w:lineRule="exact"/>
        <w:rPr>
          <w:sz w:val="24"/>
          <w:szCs w:val="24"/>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 (d) of the Securities Exchange Act of 1934 during the preceding 12 months, and (2) has been subject to such filing requirements for the past 90 days.</w:t>
      </w:r>
    </w:p>
    <w:p>
      <w:pPr>
        <w:spacing w:after="0" w:line="2" w:lineRule="exact"/>
        <w:rPr>
          <w:sz w:val="24"/>
          <w:szCs w:val="24"/>
          <w:color w:val="auto"/>
        </w:rPr>
      </w:pPr>
    </w:p>
    <w:p>
      <w:pPr>
        <w:ind w:left="2940"/>
        <w:spacing w:after="0"/>
        <w:tabs>
          <w:tab w:leader="none" w:pos="3440" w:val="left"/>
          <w:tab w:leader="none" w:pos="420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p>
    <w:p>
      <w:pPr>
        <w:spacing w:after="0" w:line="7" w:lineRule="exact"/>
        <w:rPr>
          <w:sz w:val="24"/>
          <w:szCs w:val="24"/>
          <w:color w:val="auto"/>
        </w:rPr>
      </w:pPr>
    </w:p>
    <w:p>
      <w:pPr>
        <w:ind w:left="3200"/>
        <w:spacing w:after="0"/>
        <w:tabs>
          <w:tab w:leader="none" w:pos="3960" w:val="left"/>
        </w:tabs>
        <w:rPr>
          <w:sz w:val="20"/>
          <w:szCs w:val="20"/>
          <w:color w:val="auto"/>
        </w:rPr>
      </w:pPr>
      <w:r>
        <w:rPr>
          <w:rFonts w:ascii="Courier New" w:cs="Courier New" w:eastAsia="Courier New" w:hAnsi="Courier New"/>
          <w:sz w:val="14"/>
          <w:szCs w:val="14"/>
          <w:color w:val="auto"/>
        </w:rPr>
        <w:t>-------</w:t>
        <w:tab/>
        <w:t>--------</w:t>
      </w:r>
    </w:p>
    <w:p>
      <w:pPr>
        <w:spacing w:after="0" w:line="324"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65" w:lineRule="exact"/>
        <w:rPr>
          <w:sz w:val="24"/>
          <w:szCs w:val="24"/>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based on a closing price of $7.38 per share as reported on the National Association of Securities Dealers Automated Quotation System-National Market System on December 12, 2000 was $110,919,562.</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Shares of common stock outstanding as of December 8, 2000: 15,187,743</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following table shows, except as otherwise noted, the location of information required in this Form 10-K, in the Registrant's Annual Report to Stockholders for the year ended September 30, 2000 and Proxy Statement for the Registrant's Annual Meeting of Stockholders scheduled for January 24, 2001, a definitive copy of which will be filed on or about December 21, 2000. All such information set forth below under the heading "Page/Reference" is incorporated herein by reference, or included in this Form 10-K on the pages indicated.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ITEM IN FORM 10-K</w:t>
            </w:r>
          </w:p>
        </w:tc>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PAGE/REFERENCE</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Business</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4</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Properties</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8</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Legal Proceedings</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8</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Submission of Matters to a</w:t>
            </w:r>
          </w:p>
        </w:tc>
        <w:tc>
          <w:tcPr>
            <w:tcW w:w="224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Vote of Security Holders</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9</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43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8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Market for Registrant's Common</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Stock Listing;  Dividend</w:t>
            </w: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Equity and Related Stockholder</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Policy, pocket of Annual</w:t>
            </w: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Matters</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Report to Stockholders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Selected Financial Data:</w:t>
            </w:r>
          </w:p>
        </w:tc>
        <w:tc>
          <w:tcPr>
            <w:tcW w:w="224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Financial Highlights</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Page 1, Annual Report to</w:t>
            </w:r>
          </w:p>
        </w:tc>
      </w:tr>
      <w:tr>
        <w:trPr>
          <w:trHeight w:val="166"/>
        </w:trPr>
        <w:tc>
          <w:tcPr>
            <w:tcW w:w="1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Stockholders</w:t>
            </w:r>
          </w:p>
        </w:tc>
      </w:tr>
      <w:tr>
        <w:trPr>
          <w:trHeight w:val="331"/>
        </w:trPr>
        <w:tc>
          <w:tcPr>
            <w:tcW w:w="1220" w:type="dxa"/>
            <w:vAlign w:val="bottom"/>
          </w:tcPr>
          <w:p>
            <w:pPr>
              <w:spacing w:after="0"/>
              <w:rPr>
                <w:sz w:val="24"/>
                <w:szCs w:val="2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Selected Financial Information</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10</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Management's Discussion and</w:t>
            </w:r>
          </w:p>
        </w:tc>
        <w:tc>
          <w:tcPr>
            <w:tcW w:w="224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Analysis of Financial Condition and</w:t>
            </w:r>
          </w:p>
        </w:tc>
        <w:tc>
          <w:tcPr>
            <w:tcW w:w="224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Results of Operations</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11</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Quantitative and Qualitative Disclosures</w:t>
            </w:r>
          </w:p>
        </w:tc>
        <w:tc>
          <w:tcPr>
            <w:tcW w:w="224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About Market Risk</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21</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22</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Changes in and Disagreements with Accountants</w:t>
            </w:r>
          </w:p>
        </w:tc>
        <w:tc>
          <w:tcPr>
            <w:tcW w:w="224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On Accounting and Financial Disclosure</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52</w:t>
            </w:r>
          </w:p>
        </w:tc>
      </w:tr>
    </w:tbl>
    <w:p>
      <w:pPr>
        <w:sectPr>
          <w:pgSz w:w="11900" w:h="16838" w:orient="portrait"/>
          <w:cols w:equalWidth="0" w:num="1">
            <w:col w:w="10239"/>
          </w:cols>
          <w:pgMar w:left="220" w:top="28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430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828"/>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ITEM IN FORM 10-K</w:t>
            </w:r>
          </w:p>
        </w:tc>
        <w:tc>
          <w:tcPr>
            <w:tcW w:w="3100" w:type="dxa"/>
            <w:vAlign w:val="bottom"/>
          </w:tcPr>
          <w:p>
            <w:pPr>
              <w:ind w:left="520"/>
              <w:spacing w:after="0"/>
              <w:rPr>
                <w:sz w:val="20"/>
                <w:szCs w:val="20"/>
                <w:color w:val="auto"/>
              </w:rPr>
            </w:pPr>
            <w:r>
              <w:rPr>
                <w:rFonts w:ascii="Courier New" w:cs="Courier New" w:eastAsia="Courier New" w:hAnsi="Courier New"/>
                <w:sz w:val="14"/>
                <w:szCs w:val="14"/>
                <w:color w:val="auto"/>
              </w:rPr>
              <w:t>PAGE/REFERENCE</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Directors of the Registrant</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Election of Directors,</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Proxy Statement</w:t>
            </w:r>
          </w:p>
        </w:tc>
      </w:tr>
      <w:tr>
        <w:trPr>
          <w:trHeight w:val="331"/>
        </w:trPr>
        <w:tc>
          <w:tcPr>
            <w:tcW w:w="1220" w:type="dxa"/>
            <w:vAlign w:val="bottom"/>
          </w:tcPr>
          <w:p>
            <w:pPr>
              <w:spacing w:after="0"/>
              <w:rPr>
                <w:sz w:val="24"/>
                <w:szCs w:val="24"/>
                <w:color w:val="auto"/>
              </w:rPr>
            </w:pP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Executive Officers of the Registrant</w:t>
            </w:r>
          </w:p>
        </w:tc>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53</w:t>
            </w:r>
          </w:p>
        </w:tc>
      </w:tr>
      <w:tr>
        <w:trPr>
          <w:trHeight w:val="331"/>
        </w:trPr>
        <w:tc>
          <w:tcPr>
            <w:tcW w:w="1220" w:type="dxa"/>
            <w:vAlign w:val="bottom"/>
          </w:tcPr>
          <w:p>
            <w:pPr>
              <w:spacing w:after="0"/>
              <w:rPr>
                <w:sz w:val="24"/>
                <w:szCs w:val="24"/>
                <w:color w:val="auto"/>
              </w:rPr>
            </w:pP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Compliance with Section 16(a) of the</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Section 16(a) Beneficial</w:t>
            </w:r>
          </w:p>
        </w:tc>
      </w:tr>
      <w:tr>
        <w:trPr>
          <w:trHeight w:val="166"/>
        </w:trPr>
        <w:tc>
          <w:tcPr>
            <w:tcW w:w="1220" w:type="dxa"/>
            <w:vAlign w:val="bottom"/>
          </w:tcPr>
          <w:p>
            <w:pPr>
              <w:spacing w:after="0"/>
              <w:rPr>
                <w:sz w:val="14"/>
                <w:szCs w:val="14"/>
                <w:color w:val="auto"/>
              </w:rPr>
            </w:pP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Exchange Act</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Ownership Reporting Compliance,</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Proxy Statement.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Executive Compensation</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Executive Compensation;</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Election of Directors; Summary</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Compensation Table; Option</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Grants in Last Fiscal</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Year; Aggregated Option Exercises</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in the Last Fiscal Year</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and Fiscal Year-end Option</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Values; Employment Contracts;</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Severance, Termination of</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Employment and Change-in-Control</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Arrangements; Performance</w:t>
            </w:r>
          </w:p>
        </w:tc>
      </w:tr>
      <w:tr>
        <w:trPr>
          <w:trHeight w:val="166"/>
        </w:trPr>
        <w:tc>
          <w:tcPr>
            <w:tcW w:w="12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Evaluation, Proxy Statement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Security Ownership of Certain Beneficial</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Security Ownership of  Principal</w:t>
            </w:r>
          </w:p>
        </w:tc>
      </w:tr>
      <w:tr>
        <w:trPr>
          <w:trHeight w:val="166"/>
        </w:trPr>
        <w:tc>
          <w:tcPr>
            <w:tcW w:w="1220" w:type="dxa"/>
            <w:vAlign w:val="bottom"/>
          </w:tcPr>
          <w:p>
            <w:pPr>
              <w:spacing w:after="0"/>
              <w:rPr>
                <w:sz w:val="14"/>
                <w:szCs w:val="14"/>
                <w:color w:val="auto"/>
              </w:rPr>
            </w:pP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Stockholders and Management,</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Stockholders and Management,</w:t>
            </w:r>
          </w:p>
        </w:tc>
      </w:tr>
      <w:tr>
        <w:trPr>
          <w:trHeight w:val="166"/>
        </w:trPr>
        <w:tc>
          <w:tcPr>
            <w:tcW w:w="1220" w:type="dxa"/>
            <w:vAlign w:val="bottom"/>
          </w:tcPr>
          <w:p>
            <w:pPr>
              <w:spacing w:after="0"/>
              <w:rPr>
                <w:sz w:val="14"/>
                <w:szCs w:val="14"/>
                <w:color w:val="auto"/>
              </w:rPr>
            </w:pP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Owners and  Management</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Proxy Statement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Certain Relationships and Related</w:t>
            </w:r>
          </w:p>
        </w:tc>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1220" w:type="dxa"/>
            <w:vAlign w:val="bottom"/>
          </w:tcPr>
          <w:p>
            <w:pPr>
              <w:spacing w:after="0"/>
              <w:rPr>
                <w:sz w:val="14"/>
                <w:szCs w:val="14"/>
                <w:color w:val="auto"/>
              </w:rPr>
            </w:pP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Transactions</w:t>
            </w:r>
          </w:p>
        </w:tc>
        <w:tc>
          <w:tcPr>
            <w:tcW w:w="310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43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Exhibits, Financial Statement Schedules and</w:t>
            </w:r>
          </w:p>
        </w:tc>
        <w:tc>
          <w:tcPr>
            <w:tcW w:w="310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Reports on Form 8-K</w:t>
            </w:r>
          </w:p>
        </w:tc>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55</w:t>
            </w:r>
          </w:p>
        </w:tc>
      </w:tr>
      <w:tr>
        <w:trPr>
          <w:trHeight w:val="663"/>
        </w:trPr>
        <w:tc>
          <w:tcPr>
            <w:tcW w:w="122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Courier New" w:cs="Courier New" w:eastAsia="Courier New" w:hAnsi="Courier New"/>
                <w:sz w:val="14"/>
                <w:szCs w:val="14"/>
                <w:color w:val="auto"/>
              </w:rPr>
              <w:t>3</w:t>
            </w:r>
          </w:p>
        </w:tc>
        <w:tc>
          <w:tcPr>
            <w:tcW w:w="31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Digi International Inc. (Digi or the Company) was formed in 1985 as a Minnesota corporation and reorganized as a Delaware corporation in 1989 in conjunction with its initial public offering. The Company is a worldwide provider of communications hardware and software delivering seamless connectivity solutions for peripheral server-based remote access and local area networking (LAN) markets.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operates exclusively in a single business segment and sells its products through a global network of distributors, systems integrators, value-added resellers (VARs) and original equipment manufacturers (OEMs). The Company also sells direct to select accounts and the government.</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Digi International Inc. is traded on the Nasdaq National Market under the symbol DGII. The Company has its worldwide headquarters in Minnetonka, Minnesota, with regional and sales offices throughout the U.S. and worldwide, including Germany, Paris, Amsterdam, Copenhagen, Singapore, Hong Kong, and Sydney.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Digi is the worldwide leader in connecting peripherals to networks. From multi-port serial control to Universal Serial Bus (USB) connectivity to remote access to LAN infrastructure, Digi's products enable a virtually unlimited number of devices or users to be connected locally or remotely to LANs, multi-user systems and the Internet. The Company's products are compatible with all PC platforms, including Compaq, IBM, Hewlett-Packard and Sun Microsystems, as well as popular operating systems, such as Microsoft Windows NT/95/2000, Novell NetWare, Linux and UNIX.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The Company has sales offices located</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throughout North America, Europe,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Australia and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Asia. Digi products are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available through 180 distributors in more</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than 65 countries. More than 650 VARs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participate in the DigiVAR Program,</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introduced in</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July 1993.</w:t>
            </w:r>
          </w:p>
        </w:tc>
        <w:tc>
          <w:tcPr>
            <w:tcW w:w="3660" w:type="dxa"/>
            <w:vAlign w:val="bottom"/>
          </w:tcPr>
          <w:p>
            <w:pPr>
              <w:spacing w:after="0"/>
              <w:rPr>
                <w:sz w:val="14"/>
                <w:szCs w:val="14"/>
                <w:color w:val="auto"/>
              </w:rPr>
            </w:pP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application markets where these products are most prominently used are Point-of-Sales Systems (POS), industrial automation, remote access, network fax, and data acquisition/data polling. In addition, the Company has expanded into new applications such as console management and high-density internet point-of presence (POP) testing.</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primary product lines are its multi-port serial adapters, terminal servers, multi-function communications adapters, USB, and LAN connectivity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MULTI-PORT SERIAL ADAPTERS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 is the leader in this product category and offers the most comprehensive multi-port serial adapter family of products. The Company's products support a wide range of operating systems, port-density, bus type, expansion options, and a wide range of applications.</w:t>
      </w:r>
    </w:p>
    <w:p>
      <w:pPr>
        <w:spacing w:after="0" w:line="162"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As Ethernet connections extend beyond current applications, the internal multi-port serial adapter products are expected to gradually transition to network-attached terminal server devices. The Company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MULTI-PORT SERIAL ADAPTERS (CONTINUED)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has strengthened its product offering to continue to successfully meet customer needs and believes that multi-port serial adapters will continue to be an important product category.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TERMINAL SERVER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terminal server family offers flexible and easy solutions for providing access to serial devices over Ethernet networks. As Ethernet connections extend beyond their current applications and into new market uses such as console port management on servers, routers, switches, and other network equipment, the Company believes that terminal servers will continue to be a major growth area.</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UNIVERSAL SERIAL BUS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expanded its product lines with its acquisition of Inside Out Networks, Inc. in October 2000. The acquisition creates the most comprehensive and complete USB product line in the industry, expanding on the USB technology acquired in the Central Data Corporation acquisition, and brings an extensive list of satisfied corporate customers such as Agilent, Gateway, Hewlett-Packard, IBM, Lucent Technologies, Microsoft, NCR Corporation, Sun Microsystems and others into the Company's customer base. The Company will also benefit from Inside Out Networks' pioneering EPIC software, which provides seamless transition between legacy software/systems and next-generation USB-attached devices, supporting feature-rich hardware and software flow control signaling. This provides ease of use and integration while protecting technology investments.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 CONNECTIVITY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entered the LAN market with its acquisition of MiLAN Technology Corporation (MiLAN) in November 1993. The Company's LAN business, MiLAN Technology, provides cost-effective and power-efficient Ethernet, Fast and Gigabit Ethernet networking connectivity products that are installed on a LAN to increase its productivity. The Company has recently been awarded a multi-million dollar contract to provide fiber-optic LAN connectivity for a major school district in California. MiLAN specializes in fiber optic modular switches and media converters. The product strengths range from switches (fiber and copper), media converters and print servers extending to USB and wireless LAN solutions. The products are engineered to increase network performance, flexibility and productivity of small and medium size organizations.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SERVER-BASED COMMUNICATIONS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Server-based solutions benefit resellers and end users by presenting solutions that are easy to build, configure, and manage. They are comprised of a computer hardware platform and operating system (such as a PC running Windows NT), one or more communications adapters (like Digi's DataFire and AccelePort products), and specialized communications software, available from a wide range of companies. Server-based communications solutions are ideal for applications such as remote access, advanced fax, virtual private networking, Internet connectivity, unified messaging, and Internet POP.</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Several significant alliances and agreements were announced in fiscal 2000 for Digi's multi-function communications adapters, including a marketing alliance between the Company and Compaq to jointly develop and market a family of server-based communications solutions. The solutions will incorporate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SERVER-BASED COMMUNICATIONS (CONTINUED)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Compaq Proliant servers, Digi DataFire RAS or AccelePort RAS communications adapters, Microsoft Windows NT and application software from Acotec, image LAN, and Compaq.</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AND PARTNERSHIPS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Significant U.S. distributors include: Ingram Micro, Tech Data Corporation, Gates/Arrow Distributing, Merisel, Avnet/Hallmark, Ameriquest/Robec, and Jones Business Systems. Canadian distributors include Gates/Arrow Electronics, EMJ Data Systems, Ingram Micro Canada, Merisel Canada and Tech Data Canada.</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Significant European distributors include: Miel, Arecta, International Computer Products, Connect Service Riedlbauer, Mitrol, Euroline and Data Solutions.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Significant Latin American and Asia Pacific distributors include: Tech Pacific, Sumisho Datacom, Lantech, Sealcorp Computer Products, Ingram Dicom and Unisel.</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Digi maintains strategic alliances with other industry leaders to develop and market technology solutions. These include most major communications software vendors, operating system suppliers, and computer hardware manufacturers. Key partners include: Citrix Systems, Compaq, Hewlett-Packard, IBM, Intel, Lotus, Micron, Motorola, Novell, Red Hat, Santa Cruz Operation, Sun Microsystems, and Tobit.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customer base includes many of the world's largest companies. Long time customer IBM made the Company's adapter boards the first integrated communications offering for the AS400 in 2000, in addition to the products currently being sold into the RS6000 group. The Company is engaged in several developmental alliances, including a relationship with Red Hat, among others. The Company has OEM relationships with leading vendors, allowing them to ship the Company's boards with their systems. These vendors include NCR, Sun Microsystems, Silicon Graphics, Compaq and Bull. Many of the world's leading telecommunications companies and Internet service providers also rely on the Company's products, including Lucent, Nortel, AT&amp;T and Siemens.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year ended September 30, 2000, two customers comprised more than 10% of net sales each: Tech Data at 13.4% and Ingram Micro at 10.0%. During the year ended September 30, 1999, two customers comprised more than 10% of net sales each: Tech Data at 15.4% and Ingram Micro at 13.4%. During the year ended September 30, 1998, two customers comprised more than 10% of net sales each: Ingram Micro at 15.5% and Tech Data at 13.7%.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COMPETITIVE CONDITIONS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computer industry is characterized by rapid technological advances and evolving industry standards. The market can be significantly affected by new product introductions and marketing activities of industry participants. The Company competes for customers on the basis of product performance in relation to compatibility, support, quality and reliability, product development capabilities, price and availability.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COMPETITIVE CONDITIONS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believes that it is the global market leader in multi-port serial adapters. As this market continues to mature, the Company will focus on key applications, customers, and markets to drive additional growth and manage applications as they transition to other technologies such as Ethernet, USB, and wireless connectivity products. The Company also believes it is the leader in connecting peripheral devices to Ethernet LANs with its terminal server product line. With respect to the LAN business, the Company believes it commands less than a 5% market share. The Company is currently establishing its position in the remote access market for the Company's DSP-based RAS product lines.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Many of the Company's competitors and potential competitors have greater financial, technological, manufacturing, marketing and personnel resources than the Company. Present and future competitors may be able to identify new markets and develop products more quickly which are superior to those developed by the Company. They may also adapt new technologies faster, devote greater resources to research and development, promote products more aggressively and price products more competitively than the Company. There are no assurances that competition will not intensify or that the Company will be able to compete effectively in the markets in which the Company competes.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AETHERWORKS CORPORATION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May 1998, the Company exchanged its previously purchased $13.8 million of convertible notes from AetherWorks Corporation, a development stage company engaged in the development of wireless and dial-up remote access technology, for a non-interest bearing $8.0 million non-convertible note. As a part of the exchange, the Company relinquished its rights to any future technology or claims on any of AetherWorks' intellectual properties. In exchange, the Company has been released from all of its guarantees of certain lease obligations of AetherWorks. Due to significant uncertainty as to its collectibility, the $8.0 million note, was recorded by the Company as having no carrying value. In March 2000, the Company received payment of $8.0 million, representing payment on the aforementioned non-convertible note of AetherWorks Corporation. The note was paid as a result of AetherWorks being acquired by Nx Networks, Inc. (See Note 6 to the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Company's manufacturing operations procure all parts and certain services involved in the production of products and subcontracts most of its product manufacturing to outside firms that specialize in such services. The Company believes that this approach is beneficial because the Company can reduce its fixed costs, maintain production flexibility and maximize its profit margins.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products are manufactured to its designs with standard and semi-custom components. Most of these components are available from multiple vendors. The Company has several single-sourced supplier relationships, either because alternative sources are not available or because the relationship is advantageous to the Company. If these suppliers are unable to provide a timely and reliable supply of components, the Company could experience manufacturing delays adversely affecting its results of operations.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(CONTINUED)</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During fiscal years 1998, 1999 and 2000, the Company's research and development expenditures were $15.9, $21.8, and $20.2 million, respectively.</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Due to rapidly changing technology in the computer industry, the Company believes that its success depends primarily upon the engineering, marketing, manufacturing and support skills of its personnel, rather than upon patent protection. Although the Company may seek patents where appropriate and has certain patent applications pending for proprietary technology, the Company's proprietary technology or products are generally not patented. The Company relies primarily on the copyright, trademark and trade secret laws to protect its proprietary rights in its products. The Company has established common law and registered trademark rights on a family of marks for a number of its products.</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of September 30, 2000, the Company had backlog orders which management believed to be firm in the amount of $4.4 million. All of these orders are expected to be filled in the current fiscal year. Backlog as of September 30, 1999 was $5.0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had 509 employees at September 30,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headquarters and research facilities are located in a 130,000 square foot office building in Minnetonka, Minnesota which the Company acquired in August 1995 and has occupied since March 1996. The Company's primary manufacturing facility is located in a 58,000 square foot building in Eden Prairie, Minnesota, which the Company purchased in May 1993 and has occupied since August 1993. Additional office and research facilities include a 63,000 square foot facility in Dortmund, Germany, a 46,170 square foot facility in Sunnyvale, California, the lease for which expires in April 2002, and a 5,000 square foot facility in Champaign, Illinois, the lease for which expires in January 2002.</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intends to sell the facility in Dortmund, Germany by the end of the second quarter of fiscal 2001.</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Management believes that the Company's facilities are suitable and adequate for current office, research and warehouse requirements, and that its manufacturing facilities provide sufficient production capacity to meet the Company's currently anticipated needs.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Between January 3, 1997 and March 7, 1997, the Company and certain of its previous officers were named as defendants in putative securities class action lawsuits filed in the United States District Court for the District of Minnesota by 21 lead plaintiffs on behalf of an alleged class of purchasers of the Company's common stock during the period January 25, 1996 through December 23, 1996. The putative class actions were thereafter consolidated (Master File No.</w:t>
      </w:r>
    </w:p>
    <w:p>
      <w:pPr>
        <w:spacing w:after="0" w:line="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97-5 DWF/RLE). The Consolidated Amended Class Action Complaint (Consolidated Amended Complaint) alleges that the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 (CONTINUED)</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Company and certain of its previous officers violated the federal securities laws by, among other things, misrepresenting and/or omitting material information concerning the Company's operations and financial results.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25, 1997, the Company and certain of its previous officers also were named as defendants in a securities lawsuit filed in the United States District Court for the District of Minnesota by the Louisiana State Employees Retirement System (Civil File No. 97-440, Master File No. 97-5 DWF/RLE) (the Louisiana Amended Complaint). The Louisiana Amended Complaint alleges that the Company and certain of its previous officers violated the federal securities laws and state common law by, among other things, misrepresenting and/or omitting material information concerning the Company's operations and financial results.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 decision issued on May 22, 1998, the Court dismissed without leave to replead all claims asserted in both cases, including all claims asserted against defendant Gary L. Deaner, except for certain federal securities law claims based upon alleged misrepresentations and/or omissions relating to the accounting treatment applied to the Company's AetherWorks investment. The Court also limited the claims asserted in the Louisiana Amended Complaint to the 11,000 shares of the Company's stock held subsequent to November 14, 1996, for which the Louisiana Amended Complaint claims damages of $184,276 and seeks an award of attorneys' fees, disbursements and costs. The Consolidated Amended Complaint seeks compensatory damages of approximately $43.1 million, plus interest, against all defendants, jointly and severally, and an award of attorneys' fees, experts' fees and costs.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August 17, 2000, the Court granted defendants' motions for summary judgment and dismissed with prejudice the Consolidated Amended Complaint and the Louisiana Amended Complaint. Although the 21 lead plaintiffs in the consolidated putative class actions had previously moved for class certification, the Court dismissed the actions before ruling on that motion.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September 1, 2000, the Louisiana State Employees Retirement System filed an appeal from the Court's August 17, 2000 decision. On September 14, 2000, the 21 lead plaintiffs in the consolidated putative class actions filed an appeal from both the Court's May 22, 1998 and August 17, 2000 decisions. The two appeals have been consolidated for briefing and argument, with briefing scheduled to be completed in January 2001, and oral argument to be held thereafter.</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ultimate outcomes of these actions cannot be determined at this time, and no potential assessment of their effect, if any, on the Company's financial position, liquidity or future operations can be made.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There were no matters submitted to the vote of security holders during the quarter ended September 30, 2000.</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10</w:t>
            </w:r>
          </w:p>
        </w:tc>
        <w:tc>
          <w:tcPr>
            <w:tcW w:w="2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92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2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63"/>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SELECTED FINANCIAL INFORMATION</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40" w:type="dxa"/>
            <w:vAlign w:val="bottom"/>
          </w:tcPr>
          <w:p>
            <w:pPr>
              <w:spacing w:after="0"/>
              <w:rPr>
                <w:sz w:val="24"/>
                <w:szCs w:val="24"/>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$132,525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$193,506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$ 182,932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$165,598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$193,151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(decrease) increase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(16,825)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(15,791)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(decrease) increase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(627.1)%</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4,589.5%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(269.8)%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income per share-basic</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(decrease) increase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(609.1)%</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income per share --</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assuming</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dilution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0.68</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(decrease) increase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(609.1)%</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142,922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176,330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191,521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118,311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129,939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(decrease) increase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7,081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9,206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11,124</w:t>
            </w: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(decrease)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113,459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127,164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121,251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95,471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109,943</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(decrease) increase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AMOUNTS AND PERCENTAGES)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Annual Report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 The words "believe," "expect," "anticipate," "intend," "estimate," "target," "may," "will," "plan," "project," "should," "continue," or the negative thereof or other expressions, which are predictions of or indicate future events and trends and which do not relate to historical matters, identify forward-looking statements. Such statements are based on information available to management as of the time of such statements and relate to, among other things, expectations of the business environment in which the Company operates, projections of future performance, perceived opportunities in the market and statements regarding the Company's mission and vision. Forward-looking statements involve known and unknown risks, uncertainties and other factors, which may cause the actual results, performance or achievements of the Company to differ materially from anticipated future results, performance or achievements expressed or implied by such forward-looking statements. The Company undertakes no obligation to publicly update or revise any forward-looking statement, whether as a result of new information, future events or otherwise.</w:t>
      </w:r>
    </w:p>
    <w:p>
      <w:pPr>
        <w:spacing w:after="0" w:line="34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future operating results and performance trends of the Company may be affected by a number of factors, including, without limitation, the following:</w:t>
      </w:r>
    </w:p>
    <w:p>
      <w:pPr>
        <w:spacing w:after="0" w:line="1" w:lineRule="exact"/>
        <w:rPr>
          <w:sz w:val="20"/>
          <w:szCs w:val="20"/>
          <w:color w:val="auto"/>
        </w:rPr>
      </w:pPr>
    </w:p>
    <w:p>
      <w:pPr>
        <w:ind w:right="3519" w:firstLine="8"/>
        <w:spacing w:after="0" w:line="250"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highly competitive market in which the Company operates; (ii) the Company's ability to respond to rapidly developing changes in its marketplace;</w:t>
      </w:r>
    </w:p>
    <w:p>
      <w:pPr>
        <w:ind w:right="3339" w:firstLine="8"/>
        <w:spacing w:after="0" w:line="250" w:lineRule="auto"/>
        <w:tabs>
          <w:tab w:leader="none" w:pos="51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the Company's product development efforts; (iv) the useful life of products once developed; (v) the Company's ability to integrate its recent acquisitions and to develop marketable products from the acquired in-process research and development; (vi) the Company's reliance on distributors; (vii) declining prices of networking products; (viii) uncertainty in consumer acceptance of the Company's products; and (ix) changes in the Company's level of revenue or profitability. These and other risks, uncertainties and assumptions identified from time to time in the Company's filings with the Securities and Exchange Commission, including without limitation, its annual report on Form 10-K and its quarterly report on Form 10-Q, could cause the Company's actual future results to differ materially from those projected in the forward-looking statements as a result of the factors set forth in the Company's various filings with the Securities and Exchange Commission and of changes in general economic conditions, changes in interest rates and/or exchange rates and changes in the assumptions used in making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OPERATIONS (CONTINUED)</w:t>
      </w:r>
    </w:p>
    <w:p>
      <w:pPr>
        <w:spacing w:after="0" w:line="173" w:lineRule="exact"/>
        <w:rPr>
          <w:sz w:val="20"/>
          <w:szCs w:val="20"/>
          <w:color w:val="auto"/>
        </w:rPr>
      </w:pPr>
    </w:p>
    <w:p>
      <w:pPr>
        <w:ind w:right="4400"/>
        <w:spacing w:after="0" w:line="255" w:lineRule="auto"/>
        <w:rPr>
          <w:sz w:val="20"/>
          <w:szCs w:val="20"/>
          <w:color w:val="auto"/>
        </w:rPr>
      </w:pPr>
      <w:r>
        <w:rPr>
          <w:rFonts w:ascii="Courier New" w:cs="Courier New" w:eastAsia="Courier New" w:hAnsi="Courier New"/>
          <w:sz w:val="14"/>
          <w:szCs w:val="14"/>
          <w:color w:val="auto"/>
        </w:rPr>
        <w:t>The following table sets forth selected information from the Company's Consolidated Statements of Operations, expressed as a percentage of net sales.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 over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1999 over</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1999</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c>
          <w:tcPr>
            <w:tcW w:w="4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 %</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49.3</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50.7</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51.6</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Sales and marketing</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w:t>
            </w:r>
          </w:p>
        </w:tc>
        <w:tc>
          <w:tcPr>
            <w:tcW w:w="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Research and development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37.3</w:t>
            </w:r>
          </w:p>
        </w:tc>
        <w:tc>
          <w:tcPr>
            <w:tcW w:w="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General and administrative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w:t>
            </w:r>
          </w:p>
        </w:tc>
        <w:tc>
          <w:tcPr>
            <w:tcW w:w="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Acquired in-process research and development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Impairment loss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Restructuring</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46.5</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(loss) income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(486.5)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1,140.8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(114.1)</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AetherWorks Corporation gain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AetherWorks Corporation note recovery</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(Loss) income before income taxes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(12.7) %</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4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c>
          <w:tcPr>
            <w:tcW w:w="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(627.1) %</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4,589.5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120"/>
          </w:cols>
          <w:pgMar w:left="220" w:top="285" w:right="559"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$61.0 million or 31.5% decrease in net sales from 1999 to 2000 and the $10.6 million or 5.8% increase in net sales from 1998 to 1999 occurred within the Company's principal product groups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Sales</w:t>
            </w:r>
          </w:p>
        </w:tc>
      </w:tr>
      <w:tr>
        <w:trPr>
          <w:trHeight w:val="166"/>
        </w:trPr>
        <w:tc>
          <w:tcPr>
            <w:tcW w:w="2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(Decrease)</w:t>
            </w:r>
          </w:p>
        </w:tc>
      </w:tr>
      <w:tr>
        <w:trPr>
          <w:trHeight w:val="166"/>
        </w:trPr>
        <w:tc>
          <w:tcPr>
            <w:tcW w:w="2420" w:type="dxa"/>
            <w:vAlign w:val="bottom"/>
          </w:tcPr>
          <w:p>
            <w:pPr>
              <w:spacing w:after="0"/>
              <w:rPr>
                <w:sz w:val="14"/>
                <w:szCs w:val="14"/>
                <w:color w:val="auto"/>
              </w:rPr>
            </w:pPr>
          </w:p>
        </w:tc>
        <w:tc>
          <w:tcPr>
            <w:tcW w:w="4260" w:type="dxa"/>
            <w:vAlign w:val="bottom"/>
            <w:gridSpan w:val="3"/>
          </w:tcPr>
          <w:p>
            <w:pPr>
              <w:ind w:left="1380"/>
              <w:spacing w:after="0"/>
              <w:rPr>
                <w:sz w:val="20"/>
                <w:szCs w:val="20"/>
                <w:color w:val="auto"/>
              </w:rPr>
            </w:pPr>
            <w:r>
              <w:rPr>
                <w:rFonts w:ascii="Courier New" w:cs="Courier New" w:eastAsia="Courier New" w:hAnsi="Courier New"/>
                <w:sz w:val="14"/>
                <w:szCs w:val="14"/>
                <w:color w:val="auto"/>
              </w:rPr>
              <w:t>Percent of Annual Net Sales</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Relative to Prior Year</w:t>
            </w:r>
          </w:p>
        </w:tc>
      </w:tr>
      <w:tr>
        <w:trPr>
          <w:trHeight w:val="166"/>
        </w:trPr>
        <w:tc>
          <w:tcPr>
            <w:tcW w:w="2420" w:type="dxa"/>
            <w:vAlign w:val="bottom"/>
          </w:tcPr>
          <w:p>
            <w:pPr>
              <w:spacing w:after="0"/>
              <w:rPr>
                <w:sz w:val="14"/>
                <w:szCs w:val="14"/>
                <w:color w:val="auto"/>
              </w:rPr>
            </w:pPr>
          </w:p>
        </w:tc>
        <w:tc>
          <w:tcPr>
            <w:tcW w:w="3180" w:type="dxa"/>
            <w:vAlign w:val="bottom"/>
            <w:gridSpan w:val="2"/>
          </w:tcPr>
          <w:p>
            <w:pPr>
              <w:ind w:left="1200"/>
              <w:spacing w:after="0"/>
              <w:rPr>
                <w:sz w:val="20"/>
                <w:szCs w:val="20"/>
                <w:color w:val="auto"/>
              </w:rPr>
            </w:pPr>
            <w:r>
              <w:rPr>
                <w:rFonts w:ascii="Courier New" w:cs="Courier New" w:eastAsia="Courier New" w:hAnsi="Courier New"/>
                <w:sz w:val="14"/>
                <w:szCs w:val="14"/>
                <w:color w:val="auto"/>
                <w:w w:val="75"/>
              </w:rPr>
              <w:t>-------------------------------</w:t>
            </w:r>
          </w:p>
        </w:tc>
        <w:tc>
          <w:tcPr>
            <w:tcW w:w="108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2420" w:type="dxa"/>
            <w:vAlign w:val="bottom"/>
          </w:tcPr>
          <w:p>
            <w:pPr>
              <w:ind w:left="1200"/>
              <w:spacing w:after="0"/>
              <w:rPr>
                <w:sz w:val="20"/>
                <w:szCs w:val="20"/>
                <w:color w:val="auto"/>
              </w:rPr>
            </w:pPr>
            <w:r>
              <w:rPr>
                <w:rFonts w:ascii="Courier New" w:cs="Courier New" w:eastAsia="Courier New" w:hAnsi="Courier New"/>
                <w:sz w:val="14"/>
                <w:szCs w:val="14"/>
                <w:color w:val="auto"/>
              </w:rPr>
              <w:t>2000</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420" w:type="dxa"/>
            <w:vAlign w:val="bottom"/>
          </w:tcPr>
          <w:p>
            <w:pPr>
              <w:spacing w:after="0"/>
              <w:rPr>
                <w:sz w:val="14"/>
                <w:szCs w:val="14"/>
                <w:color w:val="auto"/>
              </w:rPr>
            </w:pPr>
          </w:p>
        </w:tc>
        <w:tc>
          <w:tcPr>
            <w:tcW w:w="242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Server Based</w:t>
            </w:r>
          </w:p>
        </w:tc>
        <w:tc>
          <w:tcPr>
            <w:tcW w:w="2420" w:type="dxa"/>
            <w:vAlign w:val="bottom"/>
          </w:tcPr>
          <w:p>
            <w:pPr>
              <w:ind w:left="1200"/>
              <w:spacing w:after="0"/>
              <w:rPr>
                <w:sz w:val="20"/>
                <w:szCs w:val="20"/>
                <w:color w:val="auto"/>
              </w:rPr>
            </w:pPr>
            <w:r>
              <w:rPr>
                <w:rFonts w:ascii="Courier New" w:cs="Courier New" w:eastAsia="Courier New" w:hAnsi="Courier New"/>
                <w:sz w:val="14"/>
                <w:szCs w:val="14"/>
                <w:color w:val="auto"/>
              </w:rPr>
              <w:t>90.0%</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89.8%</w:t>
            </w: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79.8%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18.9 %</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Physical Layer</w:t>
            </w:r>
          </w:p>
        </w:tc>
        <w:tc>
          <w:tcPr>
            <w:tcW w:w="2420" w:type="dxa"/>
            <w:vAlign w:val="bottom"/>
          </w:tcPr>
          <w:p>
            <w:pPr>
              <w:ind w:left="1200"/>
              <w:spacing w:after="0"/>
              <w:rPr>
                <w:sz w:val="20"/>
                <w:szCs w:val="20"/>
                <w:color w:val="auto"/>
              </w:rPr>
            </w:pPr>
            <w:r>
              <w:rPr>
                <w:rFonts w:ascii="Courier New" w:cs="Courier New" w:eastAsia="Courier New" w:hAnsi="Courier New"/>
                <w:sz w:val="14"/>
                <w:szCs w:val="14"/>
                <w:color w:val="auto"/>
              </w:rPr>
              <w:t>10.0%</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20.1%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(46.2)%</w:t>
            </w:r>
          </w:p>
        </w:tc>
      </w:tr>
    </w:tbl>
    <w:p>
      <w:pPr>
        <w:spacing w:after="0" w:line="33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Sales of Integrated Services Digital Network (ISDN) and Voice Over Internet Protocol (VoIP) products added in connection with the July 1998 acquisition of ITK and USB and Etherlite products added in connection with the July 1998 acquisition of CDC generated $25.2 million of net sales for the 2000 fiscal year, a decrease of $17.3 million relative to the net sales recognized during the year ago period from these products. The decrease in net sales of these products was primarily due to the elimination of the VoIP product line in the second quarter of fiscal 2000 and the slowdown in sales of the ISDN product line in Germany. The Company also experienced a decline in sales of its legacy products resulting in reduced revenues of $40.9 million due to an erosion in the asynchronous product market and the demand downturn associated with the post Year 2000 period, as well as a decline in sales of the Company's physical layer products of $6.5 million. Net sales of the Company's digital RAS products added $3.7 million during fiscal 2000. Net sales in fiscal 1999 increased from fiscal 1998 largely due to the full year impact of the acquisitions of ITK and CDC, as well as the ramp up in sales of new DSP RAS products in fiscal 1999. These events accounted for sales increases of $40.9 million. The increases were mitigated by a revenue decrease of $13.3 million in 1999 for legacy asynchronous products due to shrinking of the overall market, as well as a decrease of $17.0 million in the Company's physical layer product sales due principally to competitively lower prices.</w:t>
      </w:r>
    </w:p>
    <w:p>
      <w:pPr>
        <w:spacing w:after="0" w:line="34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sales to OEMs decreased 19.4% over 1999, but as a percentage of total net sales, increased to 29.3% versus 24.9% in 1999. The OEM sales were less affected by Year 2000 factors than the sales through other channel partners. Net sales to OEMs for 1998 were 22.2% of total net sales.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sales into the distribution channel declined 37.3% over 1999 and as a percentage of total net sales, declined 5.9% to 63.4% as compared to 69.3% in 1999. International distribution net sales decreased by 34.4% over fiscal 1999 primarily due to the decline in the overall asynchronous market and the post year 2000 effects experienced domestically. Domestic distribution net sales declined by 39.2% due to overall market conditions discussed previously. Net sales to the distribution market for 1998 represented 69.3% of total net sales.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fiscal years 2000, 1999 and 1998, the Company's net sales to customers outside the United States, primarily in Europe, were approximately $46.1 million, $67.4 million and $46.7 million, respectively, comprising approximately 34.8%, 34.8% and 25.5% of total net sales, respectively.</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Gross margin in 2000 improved to 52.6%, compared to 50.7% in 1999, primarily due to fewer pricing and volume discount incentives offered to channel partners in 2000, an increase in sales of higher margin DSP RAS products, and an improved mix of higher margin physical layer products compared to the previous year.</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Gross margin in 1999 decreased to 50.7% compared to 51.6% in 1998 due to the negative impact of lower gross margin ITK products, an increased percentage of lower margin OEM sales, market-driven erosion of gross margin on physical layer products and write-downs in the carrying value of certain inventories.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Operating expenses in 2000, excluding restructuring, reorganization and asset impairment charges, decreased $15.4 million or 17.2% as compared to operating expenses for 1999. Sales and marketing expenses declined by $9.4 million, primarily in the areas of salaries, co-op advertising, commissions, and travel. Salaries decreased by $3.6 million, largely related to 1999 restructuring activities. Co-op advertising costs and commissions were lower than in 1999 by $1.1 million and $0.7 million, respectively, resulting primarily from the lower sales volumes in 2000. Travel expenses were lower by $0.6 million in response to cost control measures implemented due to the lower sales volumes experienced in 2000. Marketing expenses were lower than in 1999 by $3.4 million due to fewer new product introductions and less trade show activity. Research and development expenses in 2000 decreased by $1.7 million relative to 1999, largely due to the discontinuance of the NetBlazer technology and the elimination of the related VoIP product line in Germany. General and administrative expenses in 2000 decreased by $4.3 million relative to 1999, of which $2.7 million resulted from the decrease in amortization associated with the write-off of the VoIP identifiable intangibles and goodwill, and prior year restructuring activities which created cost reductions in 2000 of approximately $0.6 million. An additional $1.0 million in savings was realized due to cost controls implemented across the entire Company, at all locations.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 in 1999, excluding acquired in-process research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charges of $16.1 million recorded in 1998, increased by 24.5%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Sales and marketing expenses increased by $5.5 million due to $6.2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expenses added by ITK and CDC, $3.0 million expended to promote new DSP RAS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partially offset by a $3.7 million cost decline primarily due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reduced North American channel marketing efforts. Research and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increased $5.9 million in 1999 as compared to 1998 due primarily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 million of additional costs added by the acquisitions of ITK and CDC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remaining increase of $2.4 million primarily due to new product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for the DSP RAS products. General and administrative expenses increased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million primarily due to increased amortization of acquisition-related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other identifiable intangibles of $8.0 million partially offset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million of cost reductions related to reduced information systems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implementation costs and other cost saving initiatives.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$1.5 million of restructuring charges recorded in fiscal 2000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the board-approved plan to restructure the European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located in Dortmund, Germany and Bagshot, England, by transitioning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product development, technical support and manufacturing functions to the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Company's corporate headquarters located in Minnetonka, Minnesota. The restructuring charge consists principally of severance and termination costs for the 75 positions affected by the restructuring.</w:t>
      </w:r>
    </w:p>
    <w:p>
      <w:pPr>
        <w:spacing w:after="0" w:line="16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Restructuring activities are expected to be completed by end of the second quarter of fiscal 2001. The Company anticipates annual cost savings of approximately $3.0 million from these restructurings. (See Note 4 to the Company's consolidated financial statements.)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$1.2 million of net restructuring charges recorded in fiscal 1999 were associated with the board approved plan to reorganize the sales and marketing functions in Germany, England and the United States, by consolidating worldwide sales and marketing resources into strategic locations. The charges consist principally of existing commitments for rent on facilities vacated by the Company and termination payments associated with the elimination of 42 positions. These activities were completed by December 1999. The Company realized cost savings of approximately $2.2 million in fiscal year 2000 from these restructurings. (See Note 4 to the Company's consolidated financial statements.)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$1.0 million restructuring charge recorded in fiscal 1998 was associated with a board-approved plan to consolidate existing offices in Germany with those acquired from ITK. The charge consists principally of rent, contractual payments on office equipment, write-offs of leasehold improvements and termination costs associated with the elimination of six positions. Activities were completed by June 30, 1999. The Company realized cost savings of approximately $0.5 million in fiscal year 2000 from these restructurings. (See Note 4 to the Company's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DEVELOPMENTS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On October 2, 2000, the Company acquired Inside Out Networks, a leading developer of data connection products based in Austin, Texas. The acquisition provides a comprehensive suite of local connectivity solutions to the market. (See Note 17 to the Company's consolidated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IN-PROCESS RESEARCH AND DEVELOPMENT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ITK INTERNATIONAL, INC.</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July 1998, the Company acquired all of the outstanding common stock of ITK. The transaction was accounted for using the purchase method of accounting. Accordingly, the purchase price was allocated to the estimated fair value of assets acquired and liabilities assumed, including estimated restructuring and integration costs of $3.5 million. (See Note 4 to the Company's consolidated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time of the Company's acquisition, ITK described itself as a Remote Access Server (RAS) product company. Although ITK did offer its own line of ISDN cards and networking boards, the Company's acquisition was made principally to acquire the VoIP technology under development by ITK. This VoIP technology, if successfully developed, would allow users to send packetized voice signals through the Internet. The Company believed that the VoIP technology under development at the time of the acquisition could provide for the development of products which would be a natural</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IN-PROCESS RESEARCH AND DEVELOPMENT (CONTINUED)</w:t>
      </w:r>
    </w:p>
    <w:p>
      <w:pPr>
        <w:spacing w:after="0" w:line="173"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ACQUISITION OF ITK INTERNATIONAL, INC.</w:t>
        <w:tab/>
        <w:t>(CONTINUED)</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extension of the Company's current product offerings and could position the Company to address substantially larger markets than the markets served by the Company's current products.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time of the acquisition, ITK had developed a proof of concept prototype product (NetBlazer 8500) which demonstrated that the method of voice and data compression under development by ITK and the method of combining VoIP and remote access functionality under development by ITK had the potential to be further developed into a product marketable to "Carrier Class" telephone companies. However, the NetBlazer 8500 required further development before it could meet the technical and functional requirements of such customers. Accordingly, the Company was uncertain whether the VoIP technology being developed would ultimately meet the technical requirements of Carrier Class telephony customers or whether it would be commercially viable.</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of the date of the acquisition, the nature of the development efforts related to the purchased, in-process research and development projects, as well as the efforts required to complete development of those projects into commercially viable products, included development projects to address the following: (a) development of enhanced technical attributes, including enhanced port density, redundancy, network management capabilities, a higher fault tolerance, compliance with telephone industry standards such as "SS7" and "NEBS" compliancy; (b) development of significant hardware and software functions considered integral to a product with broad appeal to end users and the telephone companies, including computer-to-phone capabilities, interoperability with other vendor's gateways, one-stage dialing , local tone simulation and announcements, end-to-end transparent disconnect cause delivery and real-time FAX-over capabilities, among others; and (c) re-engineering of the prototype design to permit cost effective manufacture and commercial use, including migration from a UNIX operating system to a Windows NT operating system.</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Management estimated that $11.3 million of the purchase price represented the fair value of purchased in-process research and development related to the VoIP projects referred to above, that had not yet reached technological feasibility and had no alternative future uses. These amounts were expensed as a non-recurring, non-tax-deductible charge upon consummation of the acquisition.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identifiable intangible assets of $21.1 million included in the purchase price allocation were comprised of proven technology with an estimated fair value of $19.7 million and an assembled workforce with an estimated fair value of $1.4 million, which had estimated useful lives of five years and six years, respectively. The remaining unallocated purchase price represented goodwill of $17.7 million, which was being amortized over seven years. With regard to the proven technology, the Company intended to further enhance the strengths of this product range and implement a plan to gain leadership in the ISDN market. The Company's core asset was the comprehensive set of common application programming interface (CAPI) and CAPI-enhancing features combined with highly intelligent ISDN protocol implementation which provided for integration into server-based communication solutions for the media communication market.</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the second quarter of fiscal 2000, the Company recorded an $18.1 million charge reflecting the write-down of the carrying value of all of the intangible assets associated with the NetBlazer technology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IN-PROCESS RESEARCH AND DEVELOPMENT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ITK INTERNATIONAL, INC.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some of the goodwill acquired in the Company's July 1998 purchase of ITK. The write-down resulted from the Company's March 2000 decision to discontinue development of the NetBlazer technology when the key technical members of the NetBlazer technology team elected to leave the Company and the Company concluded that it would not be able to successfully develop a competitive product from the technology. Accordingly, the Company determined that future undiscounted cash flows from the acquired ITK assets would be substantially reduced, and therefore, the carrying value of the acquired ITK assets would be impaired. (See Note 3 to the Company's consolidated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September 2000, the Company recorded a charge of $5.8 million reflecting a write-down of the remaining carrying value of identifiable intangible assets and goodwill associated with the Integrated Services Digital Network (ISDN) technology and some of the other long-lived assets acquired in the Company's July 1998 purchase of ITK. The write-down resulted from the Company's September 2000 decision to discontinue all business activities in the ISDN market. The Company determined that it did not have the capability to invest at the levels necessary to achieve significant market share in the ISDN market and, therefore, has discontinued development activities associated with the ISDN product lines. Accordingly, the Company determined that future undiscounted cash flows from the remaining acquired ITK intangible assets would be reduced and, therefore, the carrying value of the remaining acquired ITK intangible assets would be impaired.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CENTRAL DATA CORPORATION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July 1998, the Company acquired all of the outstanding common stock of CDC. The transaction was accounted for using the purchase method of accounting. Accordingly, the purchase price was allocated to the estimated fair value of assets acquired and liabilities assumed, including estimated restructuring and integration costs of $0.8 million. (See Note 4 to the Company's consolidated financial statements.)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Although CDC did offer its own line of traditional serial port connectivity products, the Company's acquisition was made principally to acquire the USB technology under development by CDC. This USB technology, if successfully developed, would broaden the Company's product offerings to include this new, emerging industry-standard port technology. Management considers such a product offering integral to its future market share because the marketplace is migrating from the traditional serial I/O (input/output) technology (in which the Company has significant market share) to USB technology.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time of acquisition, CDC had developed a prototype of both the 2-port and 4-port USB connectivity technologies that demonstrated the validity of CDC's product development plan. However, the USB technology development was still in process, and required significant development work and field testing before it could meet the technical and functional requirements of customers and achieve commercial viability. Accordingly, the Company was uncertain whether the technology being developed could ultimately meet the technical and economic requirements of the marketplace and become commercially viable.</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IN-PROCESS RESEARCH AND DEVELOPMENT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CENTRAL DATA CORPORATION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the date of the acquisition, the nature of the development efforts related to the purchased, in-process research and development projects, as well as the efforts required to complete development of those projects into commercially viable products included: (a) development of new hardware designs and software engineering relating to a complete reengineering of the in-process USB technology; (b) development of new hardware designs for 8-port USB products; and (c) development of a new "hub" architecture to support the CDC USB technology.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Management estimated that $4.7 million of the purchase price represented the fair value of purchased in-process research and development related to the USB projects referred to above, that had not yet reached technological feasibility and had no alternative future uses. These amounts were expensed as a non-recurring, non-tax-deductible charge upon consummation of the acquisition.</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identifiable intangible assets of $9.8 million included in the purchase price allocation were comprised of proven technology with an estimated fair value of $9.4 million, and an assembled workforce with an estimated fair value of $0.4 million, which had estimated useful lives of five years and six years, respectively. The remaining unallocated purchase price represented goodwill in the amount of $9.7 million, which was being amortized over seven years.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developed the acquired in-process USB research and development and released USB products, with initial product revenues generated during November 1998. USB revenues of approximately $0.5 million and $0.3 million, for fiscal years 2000 and 1999, respectively, are included in revenues from the first release of certain USB products.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Actual revenues are below original projections due to delays in the release and marketing of certain USB products. The Company's efforts have been more heavily focused on the terminal server technologies, which had already been developed and were generating most of the post-acquisition CDC revenues, and accordingly, the original revenue projections for USB have not been realized. On October 2, 2000, the Company acquired Inside Out Networks, a leading developer of data connection products. The acquisition will allow the Company to offer the most competitive and complete USB product line in the industry. As Inside Out Networks is the market leader in USB, the Company expects that the USB products currently being sold will eventually be superceded by the Inside Out Networks USB product lines. However, the Company expects to continue to utilize the USB technology purchased in the CDC acquisition.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income of $10.7 million in 2000 consisted primarily of an $8.0 million gain recognized when Nx Networks, which acquired AetherWorks Corporation, paid the note the Company had previously written off. (See Note 6 to the Company's consolidated financial statements.) In addition, the Company recognized $2.7 million from interest income on short-term investments and $0.6 million of miscellaneous other income. These items were partially offset by $0.7 million of interest expense on the Company's borrowings.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 expense of $0.3 million in 1999 consisted primarily of $1.0 million of interest expense on lines of credit and long-term debt partially offset by $0.9 million of interest income on short-term investments. Other income for 1998 included primarily interest income on cash equivalents and a fiscal 1998 third-quarter reversal of a $1.4 million previously accrued obligation related to lease guarantees for AetherWorks Corporation. As discussed in the next item below, the obligation was reversed because the Company is no longer the primary guarantor for these leases.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AETHERWORKS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WRITE-OFF AND NOTE RECOVERY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Company's previously purchased $13.8 million of convertible notes from AetherWorks Corporation, in May 1998 the Company exchanged such notes for a non-interest bearing $8.0 million non-convertible note and was released from all of its guarantees of certain lease obligations of AetherWorks. Due to significant uncertainty as to its collectibility, the $8.0 million note was recorded by the Company as having no carrying value. In March 2000, the Company received payment of $8.0 million, representing payment on the aforementioned non-convertible note of AetherWorks Corporation. The note was paid as a result of AetherWorks Corporation being acquired by Nx Networks,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recorded a $4.3 million tax benefit for 2000, and tax provisions of $4.8 million and $9.3 million for fiscal years 1999 and 1998, respectively. The tax benefit in 2000 is recorded at a rate less than the U.S. statutory rate primarily due to non-deductible charges and amortization, partially offset by the non-taxable gain recognized upon recovery of the AetherWorks Corporation note. For fiscal 1999, the Company recorded taxes at a rate in excess of the U.S. statutory rate primarily due to the amortization of the identifiable assets and goodwill acquired in the purchase of ITK and CDC which were not deductible for income tax reporting purposes. For fiscal 1998, the Company recorded a tax provision despite incurring a loss primarily due to the write-off of acquired in-process research and development which was not deductible for income tax reporting purposes.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believes inflation has not had a material effect on its operations or its financial condition.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jc w:val="both"/>
        <w:ind w:right="3599"/>
        <w:spacing w:after="0" w:line="255" w:lineRule="auto"/>
        <w:rPr>
          <w:sz w:val="20"/>
          <w:szCs w:val="20"/>
          <w:color w:val="auto"/>
        </w:rPr>
      </w:pPr>
      <w:r>
        <w:rPr>
          <w:rFonts w:ascii="Courier New" w:cs="Courier New" w:eastAsia="Courier New" w:hAnsi="Courier New"/>
          <w:sz w:val="14"/>
          <w:szCs w:val="14"/>
          <w:color w:val="auto"/>
        </w:rPr>
        <w:t>The Company has financed its operations principally with funds generated from operations, and, in prior years, with proceeds from earlier public offerings.</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working capital increased from $59.9 million at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to $78.1 million at September 30, 2000, as compared to an increase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million, from $37.9 million to $59.9 million, at September 30, 1999 versus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 respectively. The Company maintains lines of credit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 financial institutions providing for borrowings of up to $14.5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depending upon levels of eligible accounts receivable and inventories.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 $3.1 million had been borrowed under these line of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cash provided by operating activities totaled $27.4 million during fiscal 2000 as compared to $33.3 million during fiscal 1999. The decrease in net cash provided by operations during fiscal 2000 was primarily due to less favorable operating results as compared to fiscal 1999. Net cash provided by operating activities totaled $33.3 million during fiscal 1999 as compared to $10.4 million during fiscal 1998. The increase in net cash provided by operations during fiscal 1999 was due primarily to improved collections on accounts receivables balances.</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Investing activities in 2000 consisted of net investments of $6.4 million in marketable securities and purchases of $2.5 million of equipment, capital improvements and other intangible assets. In 1999 investing activities included net investments of $13.6 million in marketable securities and purchases of $4.8 million of equipment and capital improvements, and expansion of the Company's enterprise-wide Enterprise Resource Planning (ERP) software system. Investing activities in fiscal 1998 consisted of purchases of equipment, capital improvements and other intangible assets of $5.8 million, business acquisitions of $27.4 million and a $2.0 million investment in AetherWorks Corporation.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Financing activities consisted of payments on line of credit and debt obligations totaling $1.4 million, $5.9 million and $0.1 million for 2000, 1999 and 1998, respectively. These payments were partially offset by $1.5 million, $3.0 million and $2.8 million in 2000, 1999 and 1998, respectively, received from the exercise of employee stock options and employee stock purchase plan transactions. In 1999 and 1998, the Company also repurchased $0.8 million and $0.2 million, respectively, to repurchase shares of its common stock.</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management believes that current financial resources, cash generated from operations and the Company's potential capacity for debt and/or equity financing will be sufficient to fund current and future business operations.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October 2, 2000, the Company acquired Inside Out Networks, a leading developer of data connection products based in Austin, Texas. The purchase price included an initial cash payment of $6.4 million, subject to possible post-closing adjustment, and additional contingent payments of up to $8.5 million over three years, depending upon whether Inside Out Networks achieves specific revenue and operating income targets during the next three years. The initial payment as well as any future additional contingent payments are expected to be paid using cash generated from operations. (See Note 17 to the Company's consolidated financial statements.)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January 1, 1999, eleven countries of the European Union converted to a common currency called the "Euro." This action caused some of the Company's European transactions to be negotiated, invoiced, and paid in "Euros." The conversion will most likely add currency exchange costs and risks, although such costs and risks are not quantifiable at this time.</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During 2000, the Company had approximately $46.1 million of net sales related to foreign customers, of which $41.0 million was denominated in U.S. dollars, $5.0 million was in Deutschemark- denominated sales, and $0.1 million was in Euro-denominated sales. During 2000, the average monthly exchange rate for the U.S. dollar to the Deutschemark dropped by approximately 17.0% from .5370 to</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.4455.</w:t>
      </w:r>
    </w:p>
    <w:p>
      <w:pPr>
        <w:spacing w:after="0" w:line="173"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In future periods, a significant portion of sales will be made in Deutschemarks until full integration of the "Euro" is achieved. The Company has not implemented a hedging strategy to reduce the risk of foreign currency translation exposures.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DISCLOSURE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experienced no adverse systems effects of the Year 2000 issue. While market stabilization has occurred in the last half of fiscal 2000, the Company experienced some adverse operational effects from the Year 2000 issue as a result of the industry wide slowdown in sales in the first and second quarters of fiscal 2000. While the Company has not been able to quantify the effects of the Year 2000 sales impact versus other market factors, management believes that there will be no further material adverse effects on sales from the Year 2000 issue.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DEVELOPMENTS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1 to the Company's consolidated financial statements.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 does not have material exposure to market risk from market risk sensitive financial instruments other than the currency risk associated with certain transactions being denominated in Deutschemarks.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5140" w:type="dxa"/>
            <w:vAlign w:val="bottom"/>
          </w:tcPr>
          <w:p>
            <w:pPr>
              <w:ind w:left="260"/>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97"/>
        </w:trPr>
        <w:tc>
          <w:tcPr>
            <w:tcW w:w="514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For the fiscal years ended September 30</w:t>
            </w:r>
          </w:p>
        </w:tc>
        <w:tc>
          <w:tcPr>
            <w:tcW w:w="860" w:type="dxa"/>
            <w:vAlign w:val="bottom"/>
          </w:tcPr>
          <w:p>
            <w:pPr>
              <w:spacing w:after="0"/>
              <w:rPr>
                <w:sz w:val="24"/>
                <w:szCs w:val="24"/>
                <w:color w:val="auto"/>
              </w:rPr>
            </w:pPr>
          </w:p>
        </w:tc>
        <w:tc>
          <w:tcPr>
            <w:tcW w:w="13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w:t>
            </w:r>
          </w:p>
        </w:tc>
        <w:tc>
          <w:tcPr>
            <w:tcW w:w="460" w:type="dxa"/>
            <w:vAlign w:val="bottom"/>
          </w:tcPr>
          <w:p>
            <w:pPr>
              <w:spacing w:after="0"/>
              <w:rPr>
                <w:sz w:val="24"/>
                <w:szCs w:val="2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24"/>
                <w:szCs w:val="2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$ 132,524,630</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$ 193,506,059</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$ 182,931,670</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62,871,689</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95,313,636</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88,539,156</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69,652,941</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98,192,423</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94,392,514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Sales and marketing</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34,423,150</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43,844,557</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38,334,312</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20,174,918</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21,847,230</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15,917,125</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19,357,867</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23,657,586</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17,011,504</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Acquired in-process research and development</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16,064,933</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Impairment loss</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26,146,300</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Restructuring</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1,381,642</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607,398</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1,020,000</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101,483,877</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89,956,771</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88,347,874</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Operating (loss) income</w:t>
            </w:r>
          </w:p>
        </w:tc>
        <w:tc>
          <w:tcPr>
            <w:tcW w:w="86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(31,830,936)</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8,235,652</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6,044,640</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2,667,816</w:t>
            </w:r>
          </w:p>
        </w:tc>
        <w:tc>
          <w:tcPr>
            <w:tcW w:w="4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(256,320)</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1,818,286</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AetherWorks Corporation gain</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1,350,000</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AetherWorks Corporation note recovery</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8,000,000</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(Loss) income before income taxes</w:t>
            </w:r>
          </w:p>
        </w:tc>
        <w:tc>
          <w:tcPr>
            <w:tcW w:w="86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(21,163,120)</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7,979,332</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9,212,926</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86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(4,338,440)</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4,787,599</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9,284,020</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(16,824,680)</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3,191,733</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(71,094)</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(loss) income per common share,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0.22</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(loss) income per common share,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assuming dilution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0.22</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basic</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15,061,774</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14,696,057</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13,729,765</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assuming dilution</w:t>
            </w:r>
          </w:p>
        </w:tc>
        <w:tc>
          <w:tcPr>
            <w:tcW w:w="86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15,061,774</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14,831,242</w:t>
            </w:r>
          </w:p>
        </w:tc>
        <w:tc>
          <w:tcPr>
            <w:tcW w:w="4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13,729,765</w:t>
            </w:r>
          </w:p>
        </w:tc>
      </w:tr>
      <w:tr>
        <w:trPr>
          <w:trHeight w:val="166"/>
        </w:trPr>
        <w:tc>
          <w:tcPr>
            <w:tcW w:w="5140" w:type="dxa"/>
            <w:vAlign w:val="bottom"/>
          </w:tcPr>
          <w:p>
            <w:pPr>
              <w:spacing w:after="0"/>
              <w:rPr>
                <w:sz w:val="14"/>
                <w:szCs w:val="14"/>
                <w:color w:val="auto"/>
              </w:rPr>
            </w:pPr>
          </w:p>
        </w:tc>
        <w:tc>
          <w:tcPr>
            <w:tcW w:w="22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680"/>
          </w:cols>
          <w:pgMar w:left="220" w:top="285" w:right="9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23</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668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 (CONTINUED)</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3"/>
        </w:trPr>
        <w:tc>
          <w:tcPr>
            <w:tcW w:w="668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38,785,936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20,963,607</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Marketable securities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20,150,132</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13,714,422</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net</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18,175,226</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33,955,669</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Inventories, net</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19,700,010</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22,446,667</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3,655,511</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5,394,346</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100,466,815</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96,474,711</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Property, equipment and improvements, net</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24,408,384</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30,242,877</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16,397,744</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47,804,611</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1,649,252</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1,807,829</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$ 142,922,195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176,330,028</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LIABILITES AND STOCKHOLDERS' EQUITY</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Borrowings under line of credit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3,147,900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4,759,095</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330,305</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330,028</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6,275,995</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10,779,998</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1,328,481</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5,274,181</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Advertising</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1,143,565</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2,461,437</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Compensation</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1,862,517</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6,078,230</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6,760,841</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6,357,348</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Restructuring reserves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1,531,992</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488,298</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22,381,596</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36,528,615</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7,081,396</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9,205,918</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Net deferred income taxes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3,431,133</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29,462,992</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49,165,666</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 $.01 par value:  2,000,000 shares authorized; none</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Common stock, $.01 par value;  60,000,000 shares authorized;</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16,322,949 and 16,192,997 shares issued</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163,229</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161,930</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71,851,928</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71,460,612</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61,409,861</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78,234,541</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166,750</w:t>
            </w:r>
          </w:p>
        </w:tc>
        <w:tc>
          <w:tcPr>
            <w:tcW w:w="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(1,027,533)</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133,591,768</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148,829,550</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Unearned stock compensation</w:t>
            </w:r>
          </w:p>
        </w:tc>
        <w:tc>
          <w:tcPr>
            <w:tcW w:w="60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(89,618)</w:t>
            </w:r>
          </w:p>
        </w:tc>
        <w:tc>
          <w:tcPr>
            <w:tcW w:w="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(339,686)</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Treasury stock, at cost, 1,196,463 and 1,271,612 shares</w:t>
            </w:r>
          </w:p>
        </w:tc>
        <w:tc>
          <w:tcPr>
            <w:tcW w:w="60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(20,042,947)</w:t>
            </w:r>
          </w:p>
        </w:tc>
        <w:tc>
          <w:tcPr>
            <w:tcW w:w="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(21,325,502)</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Total stockholders' equity</w:t>
            </w:r>
          </w:p>
        </w:tc>
        <w:tc>
          <w:tcPr>
            <w:tcW w:w="6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113,459,203</w:t>
            </w:r>
          </w:p>
        </w:tc>
        <w:tc>
          <w:tcPr>
            <w:tcW w:w="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127,164,362</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$ 142,922,195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176,330,028</w:t>
            </w:r>
          </w:p>
        </w:tc>
      </w:tr>
      <w:tr>
        <w:trPr>
          <w:trHeight w:val="166"/>
        </w:trPr>
        <w:tc>
          <w:tcPr>
            <w:tcW w:w="668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520"/>
          </w:cols>
          <w:pgMar w:left="220" w:top="285" w:right="1159"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years ended September 30,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Net (loss) income</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$(16,824,680)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3,191,733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(71,094)</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(loss) income to</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cash provided by operating activities:</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Impairment loss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26,146,300</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Acquired in-process research and development</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16,064,933</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1,381,642</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(672,167)</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1,020,000</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Depreciation of property and equipment</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4,296,143</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5,988,640</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5,174,725</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intangibles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8,463,573</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12,807,568</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3,665,879</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AetherWorks Corporation gain</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(1,350,000)</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Loss on sale of fixed assets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85,809</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243,524</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159,498</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1,150,068</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179,366</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708,992</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Provision for inventory obsolescence</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1,632,685</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6,218,261</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3,414,270</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(5,234,720)</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(2,119,056)</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(1,251,611)</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Stock compensation</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164,909</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582,981</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895,401</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12,792,380</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12,359,264</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(17,687,833)</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898,344</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(1,618,415)</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(569,839)</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Income taxes payable</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(3,943,276)</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1,761,296</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883,900</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3,546,641</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2,228,897</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(3,227,695)</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(2,829,261)</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(3,822,046)</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279,236</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Accrued expenses</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(4,362,890)</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(4,025,827)</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2,280,156</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ind w:left="780"/>
              <w:spacing w:after="0"/>
              <w:rPr>
                <w:sz w:val="20"/>
                <w:szCs w:val="20"/>
                <w:color w:val="auto"/>
              </w:rPr>
            </w:pPr>
            <w:r>
              <w:rPr>
                <w:rFonts w:ascii="Courier New" w:cs="Courier New" w:eastAsia="Courier New" w:hAnsi="Courier New"/>
                <w:sz w:val="14"/>
                <w:szCs w:val="14"/>
                <w:color w:val="auto"/>
              </w:rPr>
              <w:t>Total adjustments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44,188,347</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30,112,286</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10,460,012</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27,363,667</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33,304,019</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10,388,918</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Purchase of property and equipment and certain other intangible assets</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(2,544,171)</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(4,759,893)</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(5,816,163)</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fixed assets</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843,995</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held-to-maturity marketable securities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76,531,426</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7,000,000</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Purchase of held-to-maturity marketable securities</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(82,967,136)</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(20,633,113)</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Business acquisitions, net of cash acquired</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(27,356,560)</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Investment in AetherWorks Corporation</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Net cash used in investing activities</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(8,979,881)</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(17,549,011)</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(35,172,723)</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Payments on long-term debt</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(859,264)</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(1,072,747)</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(73,000)</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Payments on line of credit</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(508,317)</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(4,843,096)</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the issuance of long-term debt</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2,064,865</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stock</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(815,000)</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(153,750)</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Stock option transactions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937,723</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2,381,422</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2,310,572</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Employee stock purchase plan transactions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580,855</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586,324</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471,629</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150,997</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(3,763,097)</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4,620,316</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Effect of exchange rates changes on cash and cash equivalents</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(712,454)</w:t>
            </w:r>
          </w:p>
        </w:tc>
        <w:tc>
          <w:tcPr>
            <w:tcW w:w="5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(1,383,672)</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(810,809)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17,822,329</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10,608,239</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(20,974,298)</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2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20,963,607</w:t>
            </w:r>
          </w:p>
        </w:tc>
        <w:tc>
          <w:tcPr>
            <w:tcW w:w="5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10,355,368</w:t>
            </w:r>
          </w:p>
        </w:tc>
        <w:tc>
          <w:tcPr>
            <w:tcW w:w="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31,329,666</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$ 38,785,936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20,963,607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10,355,368</w:t>
            </w:r>
          </w:p>
        </w:tc>
      </w:tr>
      <w:tr>
        <w:trPr>
          <w:trHeight w:val="166"/>
        </w:trPr>
        <w:tc>
          <w:tcPr>
            <w:tcW w:w="63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Supplemental Cash Flows Information:</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699,228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937,306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224,730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4,358,892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3,742,898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7,463,578</w:t>
            </w:r>
          </w:p>
        </w:tc>
      </w:tr>
    </w:tbl>
    <w:p>
      <w:pPr>
        <w:spacing w:after="0" w:line="200" w:lineRule="exact"/>
        <w:rPr>
          <w:sz w:val="20"/>
          <w:szCs w:val="20"/>
          <w:color w:val="auto"/>
        </w:rPr>
      </w:pPr>
    </w:p>
    <w:p>
      <w:pPr>
        <w:spacing w:after="0" w:line="301"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80"/>
          </w:cols>
          <w:pgMar w:left="220" w:top="285" w:right="29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 AND COMPREHENSIVE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September 30, 2000, 1999 and 1998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0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Common Stock</w:t>
            </w:r>
          </w:p>
        </w:tc>
        <w:tc>
          <w:tcPr>
            <w:tcW w:w="2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Treasury Stock</w:t>
            </w:r>
          </w:p>
        </w:tc>
        <w:tc>
          <w:tcPr>
            <w:tcW w:w="14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Additional</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Par Value</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Value</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Paid-in-Capital</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Balances, September 30, 1997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14,727,256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147,273</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1,269,492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(22,405,588)</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$ 44,403,102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95,471,031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stock for acquisitions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775,837</w:t>
            </w:r>
          </w:p>
        </w:tc>
        <w:tc>
          <w:tcPr>
            <w:tcW w:w="3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7,758</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21,829,797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21,837,555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Purchase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treasury stock, at cost</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(153,750)</w:t>
            </w:r>
          </w:p>
        </w:tc>
        <w:tc>
          <w:tcPr>
            <w:tcW w:w="1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(153,750)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stock purchase issuances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(37,398)</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664,526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(192,897)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471,629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 at below</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market prices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977,697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895,401</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Stock compensation</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stock upon exercise of</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options, net of withholding</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287,882</w:t>
            </w:r>
          </w:p>
        </w:tc>
        <w:tc>
          <w:tcPr>
            <w:tcW w:w="3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2,879</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2,307,742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2,310,621</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Tax benefit realized upon exercise of</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1,305,001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1,305,001</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Forfeiture of stock options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(169,319)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(815,809)</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(71,095)</w:t>
            </w:r>
          </w:p>
        </w:tc>
      </w:tr>
      <w:tr>
        <w:trPr>
          <w:trHeight w:val="166"/>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Balances, September 30, 1998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15,790,975</w:t>
            </w:r>
          </w:p>
        </w:tc>
        <w:tc>
          <w:tcPr>
            <w:tcW w:w="3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157,910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1,247,094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(21,894,812)</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70,461,123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121,250,585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Purchase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treasury stock, at cost</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(815,000)</w:t>
            </w:r>
          </w:p>
        </w:tc>
        <w:tc>
          <w:tcPr>
            <w:tcW w:w="1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(153,750)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stock purchase issuances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(80,482)</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1,384,310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(797,986)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471,629</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Stock compensation</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stock upon exercise of</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options, net of withholding</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402,022</w:t>
            </w:r>
          </w:p>
        </w:tc>
        <w:tc>
          <w:tcPr>
            <w:tcW w:w="3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4,020</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2,377,402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2,310,621</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Tax benefit realized upon exercise</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198,041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1,305,001</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Forfeiture of stock options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(777,968)</w:t>
            </w:r>
          </w:p>
        </w:tc>
        <w:tc>
          <w:tcPr>
            <w:tcW w:w="1300" w:type="dxa"/>
            <w:vAlign w:val="bottom"/>
          </w:tcPr>
          <w:p>
            <w:pPr>
              <w:spacing w:after="0"/>
              <w:rPr>
                <w:sz w:val="14"/>
                <w:szCs w:val="14"/>
                <w:color w:val="auto"/>
              </w:rPr>
            </w:pP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815,809)</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(71,096)</w:t>
            </w:r>
          </w:p>
        </w:tc>
      </w:tr>
      <w:tr>
        <w:trPr>
          <w:trHeight w:val="166"/>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Balances, September 30, 1999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16,192,997</w:t>
            </w:r>
          </w:p>
        </w:tc>
        <w:tc>
          <w:tcPr>
            <w:tcW w:w="3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161,930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1,271,612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(21,325,502)</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71,460,612</w:t>
            </w:r>
          </w:p>
        </w:tc>
        <w:tc>
          <w:tcPr>
            <w:tcW w:w="13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stock purchase issuances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(75,149)</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1,282,555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(701,700)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580,855</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Stock compensation</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stock upon exercise of</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options, net of withholding</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129,952</w:t>
            </w:r>
          </w:p>
        </w:tc>
        <w:tc>
          <w:tcPr>
            <w:tcW w:w="3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1,299</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936,424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937,723</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Tax benefit realized upon exercise</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stock options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241,751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241,751</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Forfeiture of stock options</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(85,159)</w:t>
            </w:r>
          </w:p>
        </w:tc>
        <w:tc>
          <w:tcPr>
            <w:tcW w:w="1300" w:type="dxa"/>
            <w:vAlign w:val="bottom"/>
          </w:tcPr>
          <w:p>
            <w:pPr>
              <w:spacing w:after="0"/>
              <w:rPr>
                <w:sz w:val="14"/>
                <w:szCs w:val="14"/>
                <w:color w:val="auto"/>
              </w:rPr>
            </w:pP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1,194,285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(17,008,589)</w:t>
            </w:r>
          </w:p>
        </w:tc>
      </w:tr>
      <w:tr>
        <w:trPr>
          <w:trHeight w:val="166"/>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Balances, September 30, 2000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16,322,949</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163,229</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1,196,463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(20,042,947)</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$ 71,851,928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$ 113,275,248</w:t>
            </w:r>
          </w:p>
        </w:tc>
      </w:tr>
      <w:tr>
        <w:trPr>
          <w:trHeight w:val="166"/>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Continued Next Page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380"/>
          </w:cols>
          <w:pgMar w:left="220" w:top="285" w:right="299"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 (CONTINUED)</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CONSOLIDATED STATEMENTS OF STOCKHOLDERS' EQUITY AND COMPREHENSIVE INCOME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September 30, 2000, 1999 and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Accumulated</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Unearned</w:t>
            </w:r>
          </w:p>
        </w:tc>
        <w:tc>
          <w:tcPr>
            <w:tcW w:w="36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Other</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Total</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Retained</w:t>
            </w:r>
          </w:p>
        </w:tc>
        <w:tc>
          <w:tcPr>
            <w:tcW w:w="260" w:type="dxa"/>
            <w:vAlign w:val="bottom"/>
          </w:tcPr>
          <w:p>
            <w:pPr>
              <w:spacing w:after="0"/>
              <w:rPr>
                <w:sz w:val="14"/>
                <w:szCs w:val="14"/>
                <w:color w:val="auto"/>
              </w:rPr>
            </w:pP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Stock</w:t>
            </w:r>
          </w:p>
        </w:tc>
        <w:tc>
          <w:tcPr>
            <w:tcW w:w="36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Comprehensive</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Stockholders'</w:t>
            </w:r>
          </w:p>
        </w:tc>
        <w:tc>
          <w:tcPr>
            <w:tcW w:w="13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Comprehensive</w:t>
            </w: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Earnings</w:t>
            </w:r>
          </w:p>
        </w:tc>
        <w:tc>
          <w:tcPr>
            <w:tcW w:w="26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Compensation</w:t>
            </w:r>
          </w:p>
        </w:tc>
        <w:tc>
          <w:tcPr>
            <w:tcW w:w="36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Equity</w:t>
            </w:r>
          </w:p>
        </w:tc>
        <w:tc>
          <w:tcPr>
            <w:tcW w:w="13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(Loss) Income</w:t>
            </w: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Balances, September 30, 1997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75,113,902</w:t>
            </w: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(1,787,658)</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95,471,031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stock for acquisitions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21,837,555</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Purchase of treasury stock, at cost</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(153,750)</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Employee stock purchase issuances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471,629</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stock options at below</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market prices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(977,697)</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895,401</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895,401</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stock upon exercise of</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stock options, net of withholding</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2,310,621</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Tax benefit realized upon exercise</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1,305,001</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Forfeiture of stock options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169,319</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(815,809)</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(815,809)</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(815,809)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(71,094)</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(71,094)</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(71,094)</w:t>
            </w:r>
          </w:p>
        </w:tc>
      </w:tr>
      <w:tr>
        <w:trPr>
          <w:trHeight w:val="166"/>
        </w:trPr>
        <w:tc>
          <w:tcPr>
            <w:tcW w:w="362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Balances, September 30, 1998</w:t>
            </w:r>
          </w:p>
        </w:tc>
        <w:tc>
          <w:tcPr>
            <w:tcW w:w="4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75,042,808</w:t>
            </w:r>
          </w:p>
        </w:tc>
        <w:tc>
          <w:tcPr>
            <w:tcW w:w="2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(1,700,635)</w:t>
            </w:r>
          </w:p>
        </w:tc>
        <w:tc>
          <w:tcPr>
            <w:tcW w:w="3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(815,809)</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121,250,585</w:t>
            </w:r>
          </w:p>
        </w:tc>
        <w:tc>
          <w:tcPr>
            <w:tcW w:w="2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(886,903)</w:t>
            </w: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Purchase of treasury stock, at cost</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(815,000)</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Employee stock purchase issuances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586,324</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582,981</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582,981</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stock upon exercise of</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stock options, net of withholding</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2,381,422</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Tax benefit realized upon exercise</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198,041</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Forfeiture of stock options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777,968</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(211,724)</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(211,724)</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(211,724)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3,191,733</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3,191,733</w:t>
            </w:r>
          </w:p>
        </w:tc>
        <w:tc>
          <w:tcPr>
            <w:tcW w:w="2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3,191,733</w:t>
            </w:r>
          </w:p>
        </w:tc>
      </w:tr>
      <w:tr>
        <w:trPr>
          <w:trHeight w:val="166"/>
        </w:trPr>
        <w:tc>
          <w:tcPr>
            <w:tcW w:w="362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Balances, September 30, 1999</w:t>
            </w:r>
          </w:p>
        </w:tc>
        <w:tc>
          <w:tcPr>
            <w:tcW w:w="4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78,234,541</w:t>
            </w:r>
          </w:p>
        </w:tc>
        <w:tc>
          <w:tcPr>
            <w:tcW w:w="2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(339,686)</w:t>
            </w:r>
          </w:p>
        </w:tc>
        <w:tc>
          <w:tcPr>
            <w:tcW w:w="3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(1,027,533)</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127,164,362</w:t>
            </w:r>
          </w:p>
        </w:tc>
        <w:tc>
          <w:tcPr>
            <w:tcW w:w="2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2,980,009</w:t>
            </w: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Employee stock purchase issuances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580,855</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164,909</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164,909</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stock upon exercise of</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stock options, net of withholding</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937,723</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Tax benefit realized upon exercise</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241,751</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Forfeiture of stock options</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85,159</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1,194,283</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1,194,283</w:t>
            </w:r>
          </w:p>
        </w:tc>
        <w:tc>
          <w:tcPr>
            <w:tcW w:w="2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1,194,283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(16,824,680)</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(16,824,680)</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(16,824,680)</w:t>
            </w:r>
          </w:p>
        </w:tc>
      </w:tr>
      <w:tr>
        <w:trPr>
          <w:trHeight w:val="166"/>
        </w:trPr>
        <w:tc>
          <w:tcPr>
            <w:tcW w:w="362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Balances, September 30, 2000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61,409,861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(89,618)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166,750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$ 113,459,203</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(15,630,397)</w:t>
            </w:r>
          </w:p>
        </w:tc>
      </w:tr>
      <w:tr>
        <w:trPr>
          <w:trHeight w:val="166"/>
        </w:trPr>
        <w:tc>
          <w:tcPr>
            <w:tcW w:w="362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200"/>
          </w:cols>
          <w:pgMar w:left="220" w:top="285" w:right="479"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6359" w:firstLine="8"/>
        <w:spacing w:after="0" w:line="501" w:lineRule="auto"/>
        <w:tabs>
          <w:tab w:leader="none" w:pos="25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BUSINESS DESCRIPTION</w:t>
      </w:r>
    </w:p>
    <w:p>
      <w:pPr>
        <w:ind w:right="3419"/>
        <w:spacing w:after="0" w:line="251" w:lineRule="auto"/>
        <w:rPr>
          <w:sz w:val="20"/>
          <w:szCs w:val="20"/>
          <w:color w:val="auto"/>
        </w:rPr>
      </w:pPr>
      <w:r>
        <w:rPr>
          <w:rFonts w:ascii="Courier New" w:cs="Courier New" w:eastAsia="Courier New" w:hAnsi="Courier New"/>
          <w:sz w:val="14"/>
          <w:szCs w:val="14"/>
          <w:color w:val="auto"/>
        </w:rPr>
        <w:t>Digi International is a worldwide provider of data communications products delivering seamless connectivity solutions for peripheral server-based remote access and LAN markets. Digi's communications products support a broad range of server platforms and network operating systems that enable people to access information.</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Digi's products are marketed through a global network of distributors, system integrators, original equipment manufacturers (OEMs), and value-added resellers (VARs).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wholly-owned subsidiaries. All significant intercompany accounts and transactions have been eliminated in consolidation.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 AND MARKETABLE SECURITIES</w:t>
      </w:r>
    </w:p>
    <w:p>
      <w:pPr>
        <w:spacing w:after="0" w:line="173"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The Company considers all highly liquid investments purchased with an original maturity of three months or less to be cash equivalents. Those having original maturities in excess of three months are classified as marketable securities.</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Marketable securities consist of high-grade commercial paper and have maturities of less than one year. Marketable securities classified as held to maturity are carried at amortized cost. Gross unrealized holding gains and losses were $0 and $70,833, respectively, as of September 30, 2000, and were $10,561 and $5,383, respectively, as of September 30,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MARKETABLE SECURITIES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required to maintain $5,000,000 deposited in a financial institution as a collateral pledge related to certain short-term borrowings at September 30, 2000. The collateral pledge is for a period of six months ending March 31,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recognizes revenue at the date that products are shipped to distributors or original equipment manufacturers. Sales to authorized domestic distributors and original equipment manufacturers are made with certain rights of return. Estimated reserves for future returns are established by the Company based on historical experience and current business factors and are charged against revenues in the same period as the corresponding sales are recorded. Estimated warranty costs are accrued based on historical experience and current business factors, and are recorded in the same period as the corresponding sales.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5319" w:firstLine="8"/>
        <w:spacing w:after="0" w:line="501" w:lineRule="auto"/>
        <w:tabs>
          <w:tab w:leader="none" w:pos="25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REVENUE RECOGNITION (CONTINUED)</w:t>
      </w:r>
    </w:p>
    <w:p>
      <w:pPr>
        <w:ind w:right="3339"/>
        <w:spacing w:after="0" w:line="252" w:lineRule="auto"/>
        <w:rPr>
          <w:sz w:val="20"/>
          <w:szCs w:val="20"/>
          <w:color w:val="auto"/>
        </w:rPr>
      </w:pPr>
      <w:r>
        <w:rPr>
          <w:rFonts w:ascii="Courier New" w:cs="Courier New" w:eastAsia="Courier New" w:hAnsi="Courier New"/>
          <w:sz w:val="14"/>
          <w:szCs w:val="14"/>
          <w:color w:val="auto"/>
        </w:rPr>
        <w:t>The Company offers rebates to authorized domestic and international distributors and authorized resellers. The rebates are incurred based on the level of sales to the respective distributors and resellers, and are charged to operations in the same period as the corresponding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Inventories are stated at the lower of cost or fair market value, with cost determined on the first-in, first-out method. Fair market value for raw materials is based on replacement cost and for other inventory classifications based on net realizable value. Appropriate consideration is given to deterioration, obsolescence and other factors in evaluating net realizable value.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EQUIPMENT AND IMPROVEMENTS</w:t>
      </w:r>
    </w:p>
    <w:p>
      <w:pPr>
        <w:spacing w:after="0" w:line="173"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Property, equipment and improvements are carried at cost. Depreciation is provided by charges to operations using the straight-line method based on estimated useful lives.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Furniture and</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fixtures and other equipment are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depreciated over a period of</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three to five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years. Building improvements 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buildings are depreciated over 10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and 39 years,</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respectively.</w:t>
            </w:r>
          </w:p>
        </w:tc>
        <w:tc>
          <w:tcPr>
            <w:tcW w:w="2880" w:type="dxa"/>
            <w:vAlign w:val="bottom"/>
          </w:tcPr>
          <w:p>
            <w:pPr>
              <w:spacing w:after="0"/>
              <w:rPr>
                <w:sz w:val="14"/>
                <w:szCs w:val="14"/>
                <w:color w:val="auto"/>
              </w:rPr>
            </w:pPr>
          </w:p>
        </w:tc>
      </w:tr>
    </w:tbl>
    <w:p>
      <w:pPr>
        <w:spacing w:after="0" w:line="1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Company's cost of business process reengineering activities, whether done internally or by third parties, is expensed as incurred.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Purchased proven technology, license agreements, covenants not to compete and other intangible assets are recorded at cost. Goodwill represents the excess of cost over the fair value of identifiable assets acquired and is being amortized on a straight-line basis over estimated useful life periods ranging from five to 15 years. Purchased in-process research and development costs (IPR&amp;D) are expensed upon consummation of the purchase. All other intangible assets are amortized on a straight-line basis over their estimated useful lives of one to seven years.</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periodically, at least quarterly, analyzes intangible assets for potential impairment, assessing the appropriateness of lives and recoverability of unamortized balances through measurement of undiscounted operating cash flows on a basis consistent with generally accepted accounting principles.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2293" w:firstLine="8"/>
        <w:spacing w:after="0" w:line="501" w:lineRule="auto"/>
        <w:tabs>
          <w:tab w:leader="none" w:pos="25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RESEARCH AND DEVELOPMENT</w:t>
      </w:r>
    </w:p>
    <w:p>
      <w:pPr>
        <w:ind w:right="313"/>
        <w:spacing w:after="0" w:line="251" w:lineRule="auto"/>
        <w:rPr>
          <w:sz w:val="20"/>
          <w:szCs w:val="20"/>
          <w:color w:val="auto"/>
        </w:rPr>
      </w:pPr>
      <w:r>
        <w:rPr>
          <w:rFonts w:ascii="Courier New" w:cs="Courier New" w:eastAsia="Courier New" w:hAnsi="Courier New"/>
          <w:sz w:val="14"/>
          <w:szCs w:val="14"/>
          <w:color w:val="auto"/>
        </w:rPr>
        <w:t>Research and development costs are expensed when incurred. Software development costs are expensed as incurred. Such costs are required to be expensed until the point that technological feasibility and proven marketability of the product are established. Costs otherwise capitalized after such point also are expensed because they are insignificant.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13"/>
        <w:spacing w:after="0" w:line="251" w:lineRule="auto"/>
        <w:rPr>
          <w:sz w:val="20"/>
          <w:szCs w:val="20"/>
          <w:color w:val="auto"/>
        </w:rPr>
      </w:pPr>
      <w:r>
        <w:rPr>
          <w:rFonts w:ascii="Courier New" w:cs="Courier New" w:eastAsia="Courier New" w:hAnsi="Courier New"/>
          <w:sz w:val="14"/>
          <w:szCs w:val="14"/>
          <w:color w:val="auto"/>
        </w:rPr>
        <w:t>Deferred income taxes are recognized for the tax consequences in future years of differences between the tax basis of assets and liabilities and their financial reporting amounts at each year end based on enacted tax laws and statutory tax rates applicable to the periods in which the differences are expected to affect taxable income. Income tax expense is the tax payable for the period and the change during the period in deferred tax assets and liabilities.</w:t>
      </w:r>
    </w:p>
    <w:p>
      <w:pPr>
        <w:spacing w:after="0" w:line="164" w:lineRule="exact"/>
        <w:rPr>
          <w:sz w:val="20"/>
          <w:szCs w:val="20"/>
          <w:color w:val="auto"/>
        </w:rPr>
      </w:pPr>
    </w:p>
    <w:p>
      <w:pPr>
        <w:ind w:right="573"/>
        <w:spacing w:after="0" w:line="255" w:lineRule="auto"/>
        <w:rPr>
          <w:sz w:val="20"/>
          <w:szCs w:val="20"/>
          <w:color w:val="auto"/>
        </w:rPr>
      </w:pPr>
      <w:r>
        <w:rPr>
          <w:rFonts w:ascii="Courier New" w:cs="Courier New" w:eastAsia="Courier New" w:hAnsi="Courier New"/>
          <w:sz w:val="14"/>
          <w:szCs w:val="14"/>
          <w:color w:val="auto"/>
        </w:rPr>
        <w:t>Tax credits are accounted for under the flow-through method, which recognizes the benefit in the year in which the credit is utilized.</w:t>
      </w:r>
    </w:p>
    <w:p>
      <w:pPr>
        <w:spacing w:after="0" w:line="16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(LOSS)</w:t>
        <w:tab/>
        <w:t>INCOME PER COMMON SHARE</w:t>
      </w:r>
    </w:p>
    <w:p>
      <w:pPr>
        <w:spacing w:after="0" w:line="173" w:lineRule="exact"/>
        <w:rPr>
          <w:sz w:val="20"/>
          <w:szCs w:val="20"/>
          <w:color w:val="auto"/>
        </w:rPr>
      </w:pPr>
    </w:p>
    <w:p>
      <w:pPr>
        <w:ind w:right="313"/>
        <w:spacing w:after="0" w:line="252" w:lineRule="auto"/>
        <w:rPr>
          <w:sz w:val="20"/>
          <w:szCs w:val="20"/>
          <w:color w:val="auto"/>
        </w:rPr>
      </w:pPr>
      <w:r>
        <w:rPr>
          <w:rFonts w:ascii="Courier New" w:cs="Courier New" w:eastAsia="Courier New" w:hAnsi="Courier New"/>
          <w:sz w:val="14"/>
          <w:szCs w:val="14"/>
          <w:color w:val="auto"/>
        </w:rPr>
        <w:t>Basic net (loss) income per share is calculated based on the weighted average of common shares outstanding during the period. Net (loss) income per share, assuming dilution, is computed by dividing net (loss) income by the weighted average number of common and common equivalent shares outstanding. The Company's only common equivalent shares are those that result from dilutive common stock options.</w:t>
      </w:r>
    </w:p>
    <w:p>
      <w:pPr>
        <w:spacing w:after="0" w:line="327" w:lineRule="exact"/>
        <w:rPr>
          <w:sz w:val="20"/>
          <w:szCs w:val="20"/>
          <w:color w:val="auto"/>
        </w:rPr>
      </w:pPr>
    </w:p>
    <w:p>
      <w:pPr>
        <w:ind w:right="573"/>
        <w:spacing w:after="0" w:line="255" w:lineRule="auto"/>
        <w:rPr>
          <w:sz w:val="20"/>
          <w:szCs w:val="20"/>
          <w:color w:val="auto"/>
        </w:rPr>
      </w:pPr>
      <w:r>
        <w:rPr>
          <w:rFonts w:ascii="Courier New" w:cs="Courier New" w:eastAsia="Courier New" w:hAnsi="Courier New"/>
          <w:sz w:val="14"/>
          <w:szCs w:val="14"/>
          <w:color w:val="auto"/>
        </w:rPr>
        <w:t>The following table is a reconciliation of the numerators and denominators in the (loss) income per share calculations:</w:t>
      </w:r>
    </w:p>
    <w:p>
      <w:pPr>
        <w:spacing w:after="0" w:line="200" w:lineRule="exact"/>
        <w:rPr>
          <w:sz w:val="20"/>
          <w:szCs w:val="20"/>
          <w:color w:val="auto"/>
        </w:rPr>
      </w:pPr>
    </w:p>
    <w:p>
      <w:pPr>
        <w:spacing w:after="0" w:line="291" w:lineRule="exact"/>
        <w:rPr>
          <w:sz w:val="20"/>
          <w:szCs w:val="20"/>
          <w:color w:val="auto"/>
        </w:rPr>
      </w:pPr>
    </w:p>
    <w:p>
      <w:pPr>
        <w:ind w:left="4060"/>
        <w:spacing w:after="0"/>
        <w:tabs>
          <w:tab w:leader="none" w:pos="6100" w:val="left"/>
        </w:tabs>
        <w:rPr>
          <w:sz w:val="20"/>
          <w:szCs w:val="20"/>
          <w:color w:val="auto"/>
        </w:rPr>
      </w:pPr>
      <w:r>
        <w:rPr>
          <w:rFonts w:ascii="Courier New" w:cs="Courier New" w:eastAsia="Courier New" w:hAnsi="Courier New"/>
          <w:sz w:val="14"/>
          <w:szCs w:val="14"/>
          <w:color w:val="auto"/>
        </w:rPr>
        <w:t>Income (Loss)</w:t>
      </w:r>
      <w:r>
        <w:rPr>
          <w:sz w:val="20"/>
          <w:szCs w:val="20"/>
          <w:color w:val="auto"/>
        </w:rPr>
        <w:tab/>
      </w:r>
      <w:r>
        <w:rPr>
          <w:rFonts w:ascii="Courier New" w:cs="Courier New" w:eastAsia="Courier New" w:hAnsi="Courier New"/>
          <w:sz w:val="14"/>
          <w:szCs w:val="14"/>
          <w:color w:val="auto"/>
        </w:rPr>
        <w:t>Shares</w:t>
      </w:r>
    </w:p>
    <w:p>
      <w:pPr>
        <w:spacing w:after="0" w:line="7" w:lineRule="exact"/>
        <w:rPr>
          <w:sz w:val="20"/>
          <w:szCs w:val="20"/>
          <w:color w:val="auto"/>
        </w:rPr>
      </w:pPr>
    </w:p>
    <w:p>
      <w:pPr>
        <w:jc w:val="both"/>
        <w:ind w:left="4140"/>
        <w:spacing w:after="0"/>
        <w:tabs>
          <w:tab w:leader="none" w:pos="5940" w:val="left"/>
        </w:tabs>
        <w:rPr>
          <w:sz w:val="20"/>
          <w:szCs w:val="20"/>
          <w:color w:val="auto"/>
        </w:rPr>
      </w:pPr>
      <w:r>
        <w:rPr>
          <w:rFonts w:ascii="Courier New" w:cs="Courier New" w:eastAsia="Courier New" w:hAnsi="Courier New"/>
          <w:sz w:val="14"/>
          <w:szCs w:val="14"/>
          <w:color w:val="auto"/>
        </w:rPr>
        <w:t>(Numerator)</w:t>
      </w:r>
      <w:r>
        <w:rPr>
          <w:sz w:val="20"/>
          <w:szCs w:val="20"/>
          <w:color w:val="auto"/>
        </w:rPr>
        <w:tab/>
      </w:r>
      <w:r>
        <w:rPr>
          <w:rFonts w:ascii="Courier New" w:cs="Courier New" w:eastAsia="Courier New" w:hAnsi="Courier New"/>
          <w:sz w:val="14"/>
          <w:szCs w:val="14"/>
          <w:color w:val="auto"/>
        </w:rPr>
        <w:t>(Denominator)</w:t>
      </w:r>
    </w:p>
    <w:p>
      <w:pPr>
        <w:spacing w:after="0" w:line="7" w:lineRule="exact"/>
        <w:rPr>
          <w:sz w:val="20"/>
          <w:szCs w:val="20"/>
          <w:color w:val="auto"/>
        </w:rPr>
      </w:pPr>
    </w:p>
    <w:p>
      <w:pPr>
        <w:ind w:left="414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September 30,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LOSS PER SHARE</w:t>
      </w:r>
    </w:p>
    <w:p>
      <w:pPr>
        <w:spacing w:after="0" w:line="7" w:lineRule="exact"/>
        <w:rPr>
          <w:sz w:val="20"/>
          <w:szCs w:val="20"/>
          <w:color w:val="auto"/>
        </w:rPr>
      </w:pPr>
    </w:p>
    <w:p>
      <w:pPr>
        <w:ind w:left="180"/>
        <w:spacing w:after="0"/>
        <w:tabs>
          <w:tab w:leader="none" w:pos="3960" w:val="left"/>
          <w:tab w:leader="none" w:pos="6020" w:val="left"/>
        </w:tabs>
        <w:rPr>
          <w:sz w:val="20"/>
          <w:szCs w:val="20"/>
          <w:color w:val="auto"/>
        </w:rPr>
      </w:pPr>
      <w:r>
        <w:rPr>
          <w:rFonts w:ascii="Courier New" w:cs="Courier New" w:eastAsia="Courier New" w:hAnsi="Courier New"/>
          <w:sz w:val="14"/>
          <w:szCs w:val="14"/>
          <w:color w:val="auto"/>
        </w:rPr>
        <w:t>Income available to common stockholders</w:t>
      </w:r>
      <w:r>
        <w:rPr>
          <w:sz w:val="20"/>
          <w:szCs w:val="20"/>
          <w:color w:val="auto"/>
        </w:rPr>
        <w:tab/>
      </w:r>
      <w:r>
        <w:rPr>
          <w:rFonts w:ascii="Courier New" w:cs="Courier New" w:eastAsia="Courier New" w:hAnsi="Courier New"/>
          <w:sz w:val="14"/>
          <w:szCs w:val="14"/>
          <w:color w:val="auto"/>
        </w:rPr>
        <w:t>$ (16,824,680)</w:t>
      </w:r>
      <w:r>
        <w:rPr>
          <w:sz w:val="20"/>
          <w:szCs w:val="20"/>
          <w:color w:val="auto"/>
        </w:rPr>
        <w:tab/>
      </w:r>
      <w:r>
        <w:rPr>
          <w:rFonts w:ascii="Courier New" w:cs="Courier New" w:eastAsia="Courier New" w:hAnsi="Courier New"/>
          <w:sz w:val="14"/>
          <w:szCs w:val="14"/>
          <w:color w:val="auto"/>
        </w:rPr>
        <w:t>15,061,774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DILUTIVE SECURITIES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equivalent shares</w:t>
      </w:r>
    </w:p>
    <w:p>
      <w:pPr>
        <w:spacing w:after="0" w:line="7" w:lineRule="exact"/>
        <w:rPr>
          <w:sz w:val="20"/>
          <w:szCs w:val="20"/>
          <w:color w:val="auto"/>
        </w:rPr>
      </w:pPr>
    </w:p>
    <w:p>
      <w:pPr>
        <w:ind w:left="398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LOSS PER SHARE</w:t>
      </w:r>
    </w:p>
    <w:p>
      <w:pPr>
        <w:spacing w:after="0" w:line="7" w:lineRule="exact"/>
        <w:rPr>
          <w:sz w:val="20"/>
          <w:szCs w:val="20"/>
          <w:color w:val="auto"/>
        </w:rPr>
      </w:pPr>
    </w:p>
    <w:p>
      <w:pPr>
        <w:ind w:left="100"/>
        <w:spacing w:after="0"/>
        <w:tabs>
          <w:tab w:leader="none" w:pos="3960" w:val="left"/>
          <w:tab w:leader="none" w:pos="6020" w:val="left"/>
        </w:tabs>
        <w:rPr>
          <w:sz w:val="20"/>
          <w:szCs w:val="20"/>
          <w:color w:val="auto"/>
        </w:rPr>
      </w:pPr>
      <w:r>
        <w:rPr>
          <w:rFonts w:ascii="Courier New" w:cs="Courier New" w:eastAsia="Courier New" w:hAnsi="Courier New"/>
          <w:sz w:val="14"/>
          <w:szCs w:val="14"/>
          <w:color w:val="auto"/>
        </w:rPr>
        <w:t>Income available to common stockholders</w:t>
      </w:r>
      <w:r>
        <w:rPr>
          <w:sz w:val="20"/>
          <w:szCs w:val="20"/>
          <w:color w:val="auto"/>
        </w:rPr>
        <w:tab/>
      </w:r>
      <w:r>
        <w:rPr>
          <w:rFonts w:ascii="Courier New" w:cs="Courier New" w:eastAsia="Courier New" w:hAnsi="Courier New"/>
          <w:sz w:val="14"/>
          <w:szCs w:val="14"/>
          <w:color w:val="auto"/>
        </w:rPr>
        <w:t>$ (16,824,680)</w:t>
      </w:r>
      <w:r>
        <w:rPr>
          <w:sz w:val="20"/>
          <w:szCs w:val="20"/>
          <w:color w:val="auto"/>
        </w:rPr>
        <w:tab/>
      </w:r>
      <w:r>
        <w:rPr>
          <w:rFonts w:ascii="Courier New" w:cs="Courier New" w:eastAsia="Courier New" w:hAnsi="Courier New"/>
          <w:sz w:val="14"/>
          <w:szCs w:val="14"/>
          <w:color w:val="auto"/>
        </w:rPr>
        <w:t>15,061,774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ind w:left="167"/>
        <w:spacing w:after="0"/>
        <w:rPr>
          <w:sz w:val="20"/>
          <w:szCs w:val="20"/>
          <w:color w:val="auto"/>
        </w:rPr>
      </w:pPr>
      <w:r>
        <w:rPr>
          <w:rFonts w:ascii="Courier New" w:cs="Courier New" w:eastAsia="Courier New" w:hAnsi="Courier New"/>
          <w:sz w:val="14"/>
          <w:szCs w:val="14"/>
          <w:color w:val="auto"/>
        </w:rPr>
        <w:t>Amount</w:t>
      </w:r>
    </w:p>
    <w:p>
      <w:pPr>
        <w:spacing w:after="0" w:line="7" w:lineRule="exact"/>
        <w:rPr>
          <w:sz w:val="20"/>
          <w:szCs w:val="20"/>
          <w:color w:val="auto"/>
        </w:rPr>
      </w:pPr>
    </w:p>
    <w:p>
      <w:pPr>
        <w:ind w:left="167"/>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67" w:hanging="267"/>
        <w:spacing w:after="0"/>
        <w:tabs>
          <w:tab w:leader="none" w:pos="267"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(1.12)</w:t>
      </w:r>
    </w:p>
    <w:p>
      <w:pPr>
        <w:spacing w:after="0" w:line="350"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7" w:hanging="267"/>
        <w:spacing w:after="0"/>
        <w:tabs>
          <w:tab w:leader="none" w:pos="267"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(1.12)</w:t>
      </w:r>
    </w:p>
    <w:p>
      <w:pPr>
        <w:sectPr>
          <w:pgSz w:w="11900" w:h="16838" w:orient="portrait"/>
          <w:cols w:equalWidth="0" w:num="2">
            <w:col w:w="7213" w:space="720"/>
            <w:col w:w="2307"/>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5319" w:firstLine="8"/>
        <w:spacing w:after="0" w:line="505" w:lineRule="auto"/>
        <w:tabs>
          <w:tab w:leader="none" w:pos="25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(LOSS) INCOME PER COMMON SHARE (CONTINUED)</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Income (Loss)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Numerator</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520" w:space="600"/>
            <w:col w:w="1120" w:space="600"/>
            <w:col w:w="23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 the year ended September 30,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INCOME PER SHARE</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available to common stockholders</w:t>
      </w:r>
    </w:p>
    <w:p>
      <w:pPr>
        <w:spacing w:after="0" w:line="20" w:lineRule="exact"/>
        <w:rPr>
          <w:sz w:val="20"/>
          <w:szCs w:val="20"/>
          <w:color w:val="auto"/>
        </w:rPr>
      </w:pPr>
      <w:r>
        <w:rPr>
          <w:sz w:val="20"/>
          <w:szCs w:val="20"/>
          <w:color w:val="auto"/>
        </w:rPr>
        <w:br w:type="column"/>
      </w:r>
    </w:p>
    <w:p>
      <w:pPr>
        <w:jc w:val="center"/>
        <w:ind w:right="140"/>
        <w:spacing w:after="0"/>
        <w:tabs>
          <w:tab w:leader="none" w:pos="160" w:val="left"/>
        </w:tabs>
        <w:rPr>
          <w:sz w:val="20"/>
          <w:szCs w:val="20"/>
          <w:color w:val="auto"/>
        </w:rPr>
      </w:pPr>
      <w:r>
        <w:rPr>
          <w:rFonts w:ascii="Courier New" w:cs="Courier New" w:eastAsia="Courier New" w:hAnsi="Courier New"/>
          <w:sz w:val="14"/>
          <w:szCs w:val="14"/>
          <w:color w:val="auto"/>
        </w:rPr>
        <w:t>$</w:t>
        <w:tab/>
        <w:t>3,191,733</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14,696,057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0.22</w:t>
      </w:r>
    </w:p>
    <w:p>
      <w:pPr>
        <w:spacing w:after="0" w:line="173" w:lineRule="exact"/>
        <w:rPr>
          <w:sz w:val="20"/>
          <w:szCs w:val="20"/>
          <w:color w:val="auto"/>
        </w:rPr>
      </w:pPr>
    </w:p>
    <w:p>
      <w:pPr>
        <w:sectPr>
          <w:pgSz w:w="11900" w:h="16838" w:orient="portrait"/>
          <w:cols w:equalWidth="0" w:num="5">
            <w:col w:w="3680" w:space="720"/>
            <w:col w:w="1180" w:space="720"/>
            <w:col w:w="1000" w:space="720"/>
            <w:col w:w="80" w:space="260"/>
            <w:col w:w="18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equivalent shares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135,185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3680" w:space="720"/>
            <w:col w:w="1180" w:space="720"/>
            <w:col w:w="1000" w:space="720"/>
            <w:col w:w="22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DILUTED INCOME PER SHARE</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Income available to common stockholders</w:t>
      </w:r>
    </w:p>
    <w:p>
      <w:pPr>
        <w:spacing w:after="0" w:line="20" w:lineRule="exact"/>
        <w:rPr>
          <w:sz w:val="20"/>
          <w:szCs w:val="20"/>
          <w:color w:val="auto"/>
        </w:rPr>
      </w:pPr>
      <w:r>
        <w:rPr>
          <w:sz w:val="20"/>
          <w:szCs w:val="20"/>
          <w:color w:val="auto"/>
        </w:rPr>
        <w:br w:type="column"/>
      </w:r>
    </w:p>
    <w:p>
      <w:pPr>
        <w:jc w:val="center"/>
        <w:ind w:right="140"/>
        <w:spacing w:after="0"/>
        <w:tabs>
          <w:tab w:leader="none" w:pos="160" w:val="left"/>
        </w:tabs>
        <w:rPr>
          <w:sz w:val="20"/>
          <w:szCs w:val="20"/>
          <w:color w:val="auto"/>
        </w:rPr>
      </w:pPr>
      <w:r>
        <w:rPr>
          <w:rFonts w:ascii="Courier New" w:cs="Courier New" w:eastAsia="Courier New" w:hAnsi="Courier New"/>
          <w:sz w:val="14"/>
          <w:szCs w:val="14"/>
          <w:color w:val="auto"/>
        </w:rPr>
        <w:t>$</w:t>
        <w:tab/>
        <w:t>3,191,733</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14,831,242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0.22</w:t>
      </w:r>
    </w:p>
    <w:p>
      <w:pPr>
        <w:spacing w:after="0" w:line="200" w:lineRule="exact"/>
        <w:rPr>
          <w:sz w:val="20"/>
          <w:szCs w:val="20"/>
          <w:color w:val="auto"/>
        </w:rPr>
      </w:pPr>
    </w:p>
    <w:p>
      <w:pPr>
        <w:sectPr>
          <w:pgSz w:w="11900" w:h="16838" w:orient="portrait"/>
          <w:cols w:equalWidth="0" w:num="5">
            <w:col w:w="3680" w:space="720"/>
            <w:col w:w="1180" w:space="720"/>
            <w:col w:w="1000" w:space="720"/>
            <w:col w:w="80" w:space="260"/>
            <w:col w:w="187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September 30,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LOSS PER SHARE</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available to 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(71,094)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13,729,765</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(0.01)</w:t>
      </w:r>
    </w:p>
    <w:p>
      <w:pPr>
        <w:spacing w:after="0" w:line="200" w:lineRule="exact"/>
        <w:rPr>
          <w:sz w:val="20"/>
          <w:szCs w:val="20"/>
          <w:color w:val="auto"/>
        </w:rPr>
      </w:pPr>
    </w:p>
    <w:p>
      <w:pPr>
        <w:sectPr>
          <w:pgSz w:w="11900" w:h="16838" w:orient="portrait"/>
          <w:cols w:equalWidth="0" w:num="5">
            <w:col w:w="3680" w:space="720"/>
            <w:col w:w="80" w:space="360"/>
            <w:col w:w="740" w:space="720"/>
            <w:col w:w="1000" w:space="720"/>
            <w:col w:w="221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DILUTIVE SECURITIES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equivalent shares</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580" w:space="720"/>
            <w:col w:w="1000" w:space="720"/>
            <w:col w:w="22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DILUTED LOSS PER SHARE</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Income available to 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(71,094)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13,729,765</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(0.01)</w:t>
      </w:r>
    </w:p>
    <w:p>
      <w:pPr>
        <w:spacing w:after="0" w:line="200" w:lineRule="exact"/>
        <w:rPr>
          <w:sz w:val="20"/>
          <w:szCs w:val="20"/>
          <w:color w:val="auto"/>
        </w:rPr>
      </w:pPr>
    </w:p>
    <w:p>
      <w:pPr>
        <w:sectPr>
          <w:pgSz w:w="11900" w:h="16838" w:orient="portrait"/>
          <w:cols w:equalWidth="0" w:num="5">
            <w:col w:w="3680" w:space="720"/>
            <w:col w:w="80" w:space="360"/>
            <w:col w:w="740" w:space="720"/>
            <w:col w:w="1000" w:space="720"/>
            <w:col w:w="2219"/>
          </w:cols>
          <w:pgMar w:left="220" w:top="285" w:right="1440" w:bottom="1440" w:gutter="0" w:footer="0" w:header="0"/>
          <w:type w:val="continuous"/>
        </w:sectPr>
      </w:pPr>
    </w:p>
    <w:p>
      <w:pPr>
        <w:spacing w:after="0" w:line="1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Common equivalent shares of 160,853 and 835,670 at September 30, 2000 and 1998, respectively, were not included in the computation of diluted earnings per share because their effect is antidilutive.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Options to purchase 1,230,224, 811,753, and 451,725 shares at September 30, 2000, 1999, and 1998, respectively, were not included in the computation of diluted earnings per share because the options' exercise price was greater than the average market price of common shares.</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5319" w:firstLine="8"/>
        <w:spacing w:after="0" w:line="501" w:lineRule="auto"/>
        <w:tabs>
          <w:tab w:leader="none" w:pos="25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FOREIGN CURRENCY TRANSLATION</w:t>
      </w:r>
    </w:p>
    <w:p>
      <w:pPr>
        <w:ind w:right="3419"/>
        <w:spacing w:after="0" w:line="251" w:lineRule="auto"/>
        <w:rPr>
          <w:sz w:val="20"/>
          <w:szCs w:val="20"/>
          <w:color w:val="auto"/>
        </w:rPr>
      </w:pPr>
      <w:r>
        <w:rPr>
          <w:rFonts w:ascii="Courier New" w:cs="Courier New" w:eastAsia="Courier New" w:hAnsi="Courier New"/>
          <w:sz w:val="14"/>
          <w:szCs w:val="14"/>
          <w:color w:val="auto"/>
        </w:rPr>
        <w:t>Financial position and results of operations of the Company's international subsidiaries are measured using local currencies as the functional currency. Assets and liabilities of these operations are translated at the exchange rates in effect at each fiscal year-end. Statements of operations accounts are translated at the average rates of exchange prevailing during the year. Translation adjustments arising from the use of differing exchange rates from period to period are included in the cumulative translation account in stockholders' equity.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preparation of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For the Company, comprehensive income (loss) includes net income (loss) and foreign currency translation adjustments. Foreign currency translation adjustments are charged or credited to the accumulated other comprehensive income (loss) account in stockholders' equity.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REPORTING</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Operating segments are to be determined consistent with the way that management organizes and evaluates financial information internally, makes operating decisions, and assesses performance. The Company operates in one reportable segment.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DEVELOPMENTS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No. 133, "Accounting for Derivative Instruments and Hedging Activities" (FASB 133). In July 1999, the FASB issued Statement of Financial Accounting Standards No. 137, "Accounting for Derivative Instruments and Hedging Activities - Deferral of the Effective Date of FASB Statement No. 133" which defers the effective date of FASB 133 to the Company's fiscal year ending September 30, 2001.</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June 2000, the FASB issued Statement of Financial Accounting Standards No. 138, "Accounting for Certain Derivative Instruments and Certain Hedging Activities - An Amendment of FASB Statement</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DEVELOPMENTS (CONTINUED)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 133" (FASB 138). FASB 138 addresses a limited number of FASB 133 implementation issues. The adoption of FASB 133, as amended by FASB 138, is not expected to have a significant impact on the Company's consolidated financial position or results of operations.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September 2000, the FASB issued Statement of Financial Accounting Standards No. 140 "Accounting for Transfers and Servicing of Financial Assets and Extinguishments of Liabilities -- A replacement of FASB Statement No. 125" (FASB 140). FASB 140 revises the standards for accounting for securitizations and other transfers of financial assets and collateral and requires certain disclosures, but it carries over most of FASB Statement 125's provisions without reconsideration. FASB 140 is effective for the Company's fiscal year ending September 30, 2001. The adoption of FASB 140 is not expected to have a significant impact on the Company's consolidated financial position or results of operations.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December 1999, the Staff of the Securities and Exchange Commission issued Staff Accounting Bulletin No. 101 (SAB 101) -- Revenue Recognition in Financial Statements. This SAB summarizes certain of the SEC's views regarding revenue recognition. The provisions of SAB 101, as amended by SAB 101A and SAB 101B, must be adopted by the fourth quarter of the Company's fiscal year ending September 30, 2001. However, any effects of the SAB must be reflected retroactively to October 1, 2000 (the first day of fiscal year 2001). The Company has considered the effect of the guidance outlined in SAB 101 and does not believe that it will impact the Company's revenue recognition practices or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ACQUISITIONS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July 1998, the Company acquired all of the outstanding common stock of ITK International, Inc. (ITK). The transaction was accounted for using the purchase method of accounting. Accordingly, the purchase price was allocated to the estimated fair value of assets acquired and liabilities assumed.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July 1998, the Company acquired all of the outstanding common stock of Central Data Corporation (CDC). The transaction was accounted for using the purchase method of accounting. Accordingly, the purchase price was allocated to the estimated fair value of assets acquired and liabilities assumed.</w:t>
      </w:r>
    </w:p>
    <w:p>
      <w:pPr>
        <w:spacing w:after="0" w:line="16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following unaudited pro forma condensed consolidated results of operations have been prepared as if the acquisitions of ITK and CDC had occurred as of the beginning of fiscal 1998:</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Net sales</w:t>
      </w:r>
      <w:r>
        <w:rPr>
          <w:sz w:val="20"/>
          <w:szCs w:val="20"/>
          <w:color w:val="auto"/>
        </w:rPr>
        <w:tab/>
      </w:r>
      <w:r>
        <w:rPr>
          <w:rFonts w:ascii="Courier New" w:cs="Courier New" w:eastAsia="Courier New" w:hAnsi="Courier New"/>
          <w:sz w:val="14"/>
          <w:szCs w:val="14"/>
          <w:color w:val="auto"/>
        </w:rPr>
        <w:t>$220,271,670</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($20,206,426)</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Net loss per share</w:t>
      </w:r>
      <w:r>
        <w:rPr>
          <w:sz w:val="20"/>
          <w:szCs w:val="20"/>
          <w:color w:val="auto"/>
        </w:rPr>
        <w:tab/>
      </w:r>
      <w:r>
        <w:rPr>
          <w:rFonts w:ascii="Courier New" w:cs="Courier New" w:eastAsia="Courier New" w:hAnsi="Courier New"/>
          <w:sz w:val="14"/>
          <w:szCs w:val="14"/>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ACQUISITIONS (CONTINUED)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unaudited pro forma condensed consolidated results of operations are not necessarily indicative of results that would have occurred had the acquisitions been in effect for the year presented, nor are they necessarily indicative of results that will be obtained in the future.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IMPAIRMENT LOSS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March 2000, the Company recorded a charge of $18,068,249 reflecting the write-down of the carrying value of all of the intangible assets associated with the NetBlazer technology and some of the goodwill acquired in the Company's July 1998 purchase of ITK. The write-down resulted from the Company's March 2000 decision to discontinue development of the NetBlazer technology when the key technical members of the NetBlazer technology team elected to leave the Company and the Company concluded that it would not be able to successfully develop a competitive product from the technology. Accordingly, the Company determined that future undiscounted cash flows from the acquired ITK assets would be substantially reduced and, therefore, the carrying value of the acquired ITK assets would be impaired.</w:t>
      </w:r>
    </w:p>
    <w:p>
      <w:pPr>
        <w:spacing w:after="0" w:line="329" w:lineRule="exact"/>
        <w:rPr>
          <w:sz w:val="20"/>
          <w:szCs w:val="20"/>
          <w:color w:val="auto"/>
        </w:rPr>
      </w:pPr>
    </w:p>
    <w:p>
      <w:pPr>
        <w:jc w:val="both"/>
        <w:ind w:right="3599"/>
        <w:spacing w:after="0" w:line="250" w:lineRule="auto"/>
        <w:rPr>
          <w:sz w:val="20"/>
          <w:szCs w:val="20"/>
          <w:color w:val="auto"/>
        </w:rPr>
      </w:pPr>
      <w:r>
        <w:rPr>
          <w:rFonts w:ascii="Courier New" w:cs="Courier New" w:eastAsia="Courier New" w:hAnsi="Courier New"/>
          <w:sz w:val="14"/>
          <w:szCs w:val="14"/>
          <w:color w:val="auto"/>
        </w:rPr>
        <w:t>The Company utilized a discounted cash flows valuation method as described in Statement of Financial Accounting Standards Board No. 121 "Accounting for the Impairment of Long-Lived Assets and for Long-Lived Assets to Be Disposed Of"</w:t>
      </w:r>
    </w:p>
    <w:p>
      <w:pPr>
        <w:spacing w:after="0" w:line="1" w:lineRule="exact"/>
        <w:rPr>
          <w:sz w:val="20"/>
          <w:szCs w:val="20"/>
          <w:color w:val="auto"/>
        </w:rPr>
      </w:pPr>
    </w:p>
    <w:p>
      <w:pPr>
        <w:jc w:val="both"/>
        <w:ind w:right="3599"/>
        <w:spacing w:after="0" w:line="255" w:lineRule="auto"/>
        <w:rPr>
          <w:sz w:val="20"/>
          <w:szCs w:val="20"/>
          <w:color w:val="auto"/>
        </w:rPr>
      </w:pPr>
      <w:r>
        <w:rPr>
          <w:rFonts w:ascii="Courier New" w:cs="Courier New" w:eastAsia="Courier New" w:hAnsi="Courier New"/>
          <w:sz w:val="14"/>
          <w:szCs w:val="14"/>
          <w:color w:val="auto"/>
        </w:rPr>
        <w:t>(FASB 121), to measure the March 2000 adjustment to the carrying value of the acquired ITK intangible assets.</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September 2000, the Company recorded a charge of $8,078,051 reflecting a write-down of the remaining carrying value of identifiable intangible assets and goodwill associated with the Integrated Services Digital Network (ISDN) technology and some of the other long-lived assets acquired in the Company's July 1998 purchase of ITK. The write-down resulted from the Company's September 2000 decision to discontinue all business activities in the ISDN market. The Company determined that it did not have the capability to invest at the levels necessary to achieve significant market share in the ISDN market and, therefore, has discontinued development activities associated with the ISDN product lines. Accordingly, the Company determined that future undiscounted cash flows from the remaining acquired ITK intangible assets would be reduced and, therefore, the carrying value of the remaining acquired ITK intangible assets would be impaired. As a result of discontinuing business activities in the ISDN market, as well as the decision to restructure the European operations to a sales and marketing organization, the Company determined that its Dortmund, Germany facility (the Dortmund Facility), including certain furniture and fixture items, would no longer be needed to support operations. During September 2000, the Company began efforts to sell the Dortmund Facility. As a result of placing the Dortmund Facility on the commercial real estate market, the Company determined that the Dortmund Facility's fair market value was less than its carrying value. An independent appraisal of the Dortmund Facility was completed. Based on the results of this appraisal, the Company wrote-down the carrying value of the Dortmund Facility to its estimated fair market value as of September 30, 2000. The Company expects that the Dortmund Facility will be sold by the end of the second quarter of fiscal year 2001. Certain furniture and fixtures amounts at the Dortmund Facility have been written down to estimated fair value, given the actions taken by the Company as described above. The estimated fair value of the Dortmund Facility, including the furniture and fixtures, is $5.3 million and is classified as part of property, equipment and improvements on the Company's balance sheet at September 30, 2000.</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IMPAIRMENT LOSS (CONTINUED)</w:t>
      </w:r>
    </w:p>
    <w:p>
      <w:pPr>
        <w:spacing w:after="0" w:line="173" w:lineRule="exact"/>
        <w:rPr>
          <w:sz w:val="20"/>
          <w:szCs w:val="20"/>
          <w:color w:val="auto"/>
        </w:rPr>
      </w:pPr>
    </w:p>
    <w:p>
      <w:pPr>
        <w:ind w:right="80"/>
        <w:spacing w:after="0" w:line="251" w:lineRule="auto"/>
        <w:rPr>
          <w:sz w:val="20"/>
          <w:szCs w:val="20"/>
          <w:color w:val="auto"/>
        </w:rPr>
      </w:pPr>
      <w:r>
        <w:rPr>
          <w:rFonts w:ascii="Courier New" w:cs="Courier New" w:eastAsia="Courier New" w:hAnsi="Courier New"/>
          <w:sz w:val="14"/>
          <w:szCs w:val="14"/>
          <w:color w:val="auto"/>
        </w:rPr>
        <w:t>The Company utilized a discounted cash flows valuation method as described in FASB 121 to measure the September 2000 adjustment to the carrying value of the remaining acquired ITK intangible assets. The Company utilized an independent appraisal to measure the September 2000 adjustment to the carrying value of the acquired ITK manufacturing facility. The September 2000 adjustment to carrying value of the acquired ITK furniture and fixtures was based on the Company's estimate of selling prices for the furniture and fixtures.</w:t>
      </w:r>
    </w:p>
    <w:p>
      <w:pPr>
        <w:spacing w:after="0" w:line="164" w:lineRule="exact"/>
        <w:rPr>
          <w:sz w:val="20"/>
          <w:szCs w:val="20"/>
          <w:color w:val="auto"/>
        </w:rPr>
      </w:pPr>
    </w:p>
    <w:p>
      <w:pPr>
        <w:ind w:right="180"/>
        <w:spacing w:after="0" w:line="255" w:lineRule="auto"/>
        <w:rPr>
          <w:sz w:val="20"/>
          <w:szCs w:val="20"/>
          <w:color w:val="auto"/>
        </w:rPr>
      </w:pPr>
      <w:r>
        <w:rPr>
          <w:rFonts w:ascii="Courier New" w:cs="Courier New" w:eastAsia="Courier New" w:hAnsi="Courier New"/>
          <w:sz w:val="14"/>
          <w:szCs w:val="14"/>
          <w:color w:val="auto"/>
        </w:rPr>
        <w:t>The write-down of the carrying value of the long-lived assets, as described in the previous paragraphs,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Identifiable</w:t>
            </w:r>
          </w:p>
        </w:tc>
        <w:tc>
          <w:tcPr>
            <w:tcW w:w="18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Identifiable</w:t>
            </w:r>
          </w:p>
        </w:tc>
      </w:tr>
      <w:tr>
        <w:trPr>
          <w:trHeight w:val="166"/>
        </w:trPr>
        <w:tc>
          <w:tcPr>
            <w:tcW w:w="2900" w:type="dxa"/>
            <w:vAlign w:val="bottom"/>
          </w:tcPr>
          <w:p>
            <w:pPr>
              <w:spacing w:after="0"/>
              <w:rPr>
                <w:sz w:val="14"/>
                <w:szCs w:val="14"/>
                <w:color w:val="auto"/>
              </w:rPr>
            </w:pP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Intangible Assets</w:t>
            </w: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Intangible Assets</w:t>
            </w:r>
          </w:p>
        </w:tc>
      </w:tr>
      <w:tr>
        <w:trPr>
          <w:trHeight w:val="166"/>
        </w:trPr>
        <w:tc>
          <w:tcPr>
            <w:tcW w:w="29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and Goodwill</w:t>
            </w:r>
          </w:p>
        </w:tc>
        <w:tc>
          <w:tcPr>
            <w:tcW w:w="18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and Goodwill</w:t>
            </w:r>
          </w:p>
        </w:tc>
      </w:tr>
      <w:tr>
        <w:trPr>
          <w:trHeight w:val="166"/>
        </w:trPr>
        <w:tc>
          <w:tcPr>
            <w:tcW w:w="2900" w:type="dxa"/>
            <w:vAlign w:val="bottom"/>
          </w:tcPr>
          <w:p>
            <w:pPr>
              <w:spacing w:after="0"/>
              <w:rPr>
                <w:sz w:val="14"/>
                <w:szCs w:val="14"/>
                <w:color w:val="auto"/>
              </w:rPr>
            </w:pP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Associated with</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Associated with</w:t>
            </w:r>
          </w:p>
        </w:tc>
      </w:tr>
      <w:tr>
        <w:trPr>
          <w:trHeight w:val="166"/>
        </w:trPr>
        <w:tc>
          <w:tcPr>
            <w:tcW w:w="2900" w:type="dxa"/>
            <w:vAlign w:val="bottom"/>
          </w:tcPr>
          <w:p>
            <w:pPr>
              <w:ind w:left="1220"/>
              <w:spacing w:after="0"/>
              <w:rPr>
                <w:sz w:val="20"/>
                <w:szCs w:val="20"/>
                <w:color w:val="auto"/>
              </w:rPr>
            </w:pPr>
            <w:r>
              <w:rPr>
                <w:rFonts w:ascii="Courier New" w:cs="Courier New" w:eastAsia="Courier New" w:hAnsi="Courier New"/>
                <w:sz w:val="14"/>
                <w:szCs w:val="14"/>
                <w:color w:val="auto"/>
              </w:rPr>
              <w:t>Asset</w:t>
            </w:r>
          </w:p>
        </w:tc>
        <w:tc>
          <w:tcPr>
            <w:tcW w:w="21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the NetBlazer</w:t>
            </w:r>
          </w:p>
        </w:tc>
        <w:tc>
          <w:tcPr>
            <w:tcW w:w="18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the ISDN</w:t>
            </w:r>
          </w:p>
        </w:tc>
      </w:tr>
      <w:tr>
        <w:trPr>
          <w:trHeight w:val="166"/>
        </w:trPr>
        <w:tc>
          <w:tcPr>
            <w:tcW w:w="2900" w:type="dxa"/>
            <w:vAlign w:val="bottom"/>
          </w:tcPr>
          <w:p>
            <w:pPr>
              <w:ind w:left="960"/>
              <w:spacing w:after="0"/>
              <w:rPr>
                <w:sz w:val="20"/>
                <w:szCs w:val="20"/>
                <w:color w:val="auto"/>
              </w:rPr>
            </w:pPr>
            <w:r>
              <w:rPr>
                <w:rFonts w:ascii="Courier New" w:cs="Courier New" w:eastAsia="Courier New" w:hAnsi="Courier New"/>
                <w:sz w:val="14"/>
                <w:szCs w:val="14"/>
                <w:color w:val="auto"/>
              </w:rPr>
              <w:t>Description</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Technology</w:t>
            </w:r>
          </w:p>
        </w:tc>
        <w:tc>
          <w:tcPr>
            <w:tcW w:w="18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Technology</w:t>
            </w:r>
          </w:p>
        </w:tc>
      </w:tr>
      <w:tr>
        <w:trPr>
          <w:trHeight w:val="166"/>
        </w:trPr>
        <w:tc>
          <w:tcPr>
            <w:tcW w:w="29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 technology</w:t>
            </w: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$ 10,491,837</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$ 2,241,167</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Assembled workforce</w:t>
            </w: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252,646</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670,484</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7,323,766</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2,852,737</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Building -- Dortmund facility</w:t>
            </w: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6"/>
        </w:trPr>
        <w:tc>
          <w:tcPr>
            <w:tcW w:w="2900" w:type="dxa"/>
            <w:vAlign w:val="bottom"/>
          </w:tcPr>
          <w:p>
            <w:pPr>
              <w:spacing w:after="0"/>
              <w:rPr>
                <w:sz w:val="14"/>
                <w:szCs w:val="14"/>
                <w:color w:val="auto"/>
              </w:rPr>
            </w:pP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$ 18,068,249</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$ 5,764,388</w:t>
            </w:r>
          </w:p>
        </w:tc>
      </w:tr>
      <w:tr>
        <w:trPr>
          <w:trHeight w:val="166"/>
        </w:trPr>
        <w:tc>
          <w:tcPr>
            <w:tcW w:w="2900" w:type="dxa"/>
            <w:vAlign w:val="bottom"/>
          </w:tcPr>
          <w:p>
            <w:pPr>
              <w:spacing w:after="0"/>
              <w:rPr>
                <w:sz w:val="14"/>
                <w:szCs w:val="14"/>
                <w:color w:val="auto"/>
              </w:rPr>
            </w:pP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4"/>
          <w:szCs w:val="14"/>
          <w:color w:val="auto"/>
        </w:rPr>
        <w:t>The Company realized $5,327,981 of tax benefits as a result of the elimination of the deferred tax liabilities associated with the identifiable intangible assets of ITK's NetBlazer and ISDN technologies, which were written off as described above.</w:t>
      </w:r>
    </w:p>
    <w:p>
      <w:pPr>
        <w:spacing w:after="0" w:line="328" w:lineRule="exact"/>
        <w:rPr>
          <w:sz w:val="20"/>
          <w:szCs w:val="20"/>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In September 2000, the Company's Board of Directors approved a restructuring plan related to its European operations headquartered in Dortmund, Germany, which provided for the transition of all product development, technical support and manufacturing functions to the Company's corporate headquarters located in Minnetonka, Minnesota. The plan also included the closure of the Company's office in Bagshot, England. The charge of $1,531,992 consisted of $1,252,531 for severance and termination costs related to the elimination of 73 positions in Dortmund, Germany and 2 positions in Bagshot, England; $134,227 related to the closure of the Bagshot office for lease cancellation; $100,684</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Other Long Lived</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Assets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Impairment Loss</w:t>
            </w:r>
          </w:p>
        </w:tc>
      </w:tr>
      <w:tr>
        <w:trPr>
          <w:trHeight w:val="166"/>
        </w:trPr>
        <w:tc>
          <w:tcPr>
            <w:tcW w:w="17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spacing w:after="0"/>
              <w:rPr>
                <w:sz w:val="24"/>
                <w:szCs w:val="2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$ 12,733,004</w:t>
            </w:r>
          </w:p>
        </w:tc>
      </w:tr>
      <w:tr>
        <w:trPr>
          <w:trHeight w:val="331"/>
        </w:trPr>
        <w:tc>
          <w:tcPr>
            <w:tcW w:w="1760" w:type="dxa"/>
            <w:vAlign w:val="bottom"/>
          </w:tcPr>
          <w:p>
            <w:pPr>
              <w:spacing w:after="0"/>
              <w:rPr>
                <w:sz w:val="24"/>
                <w:szCs w:val="2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923,130</w:t>
            </w:r>
          </w:p>
        </w:tc>
      </w:tr>
      <w:tr>
        <w:trPr>
          <w:trHeight w:val="331"/>
        </w:trPr>
        <w:tc>
          <w:tcPr>
            <w:tcW w:w="1760" w:type="dxa"/>
            <w:vAlign w:val="bottom"/>
          </w:tcPr>
          <w:p>
            <w:pPr>
              <w:spacing w:after="0"/>
              <w:rPr>
                <w:sz w:val="24"/>
                <w:szCs w:val="2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10,176,503</w:t>
            </w:r>
          </w:p>
        </w:tc>
      </w:tr>
      <w:tr>
        <w:trPr>
          <w:trHeight w:val="331"/>
        </w:trPr>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$ 1,955,366</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1,955,366</w:t>
            </w:r>
          </w:p>
        </w:tc>
      </w:tr>
      <w:tr>
        <w:trPr>
          <w:trHeight w:val="331"/>
        </w:trPr>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358,297</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358,297</w:t>
            </w:r>
          </w:p>
        </w:tc>
      </w:tr>
      <w:tr>
        <w:trPr>
          <w:trHeight w:val="166"/>
        </w:trPr>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$ 2,313,663</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$ 26,146,300</w:t>
            </w:r>
          </w:p>
        </w:tc>
      </w:tr>
      <w:tr>
        <w:trPr>
          <w:trHeight w:val="166"/>
        </w:trPr>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900" w:space="520"/>
            <w:col w:w="3440"/>
          </w:cols>
          <w:pgMar w:left="220" w:top="285" w:right="819"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RESTRUCTURING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cancellation fees related to automobile leases, and maintenance contracts, and office equipment leases, and $44,550 for severance-related legal expenses. As of September 30, 2000, there had been no expenses paid relating to these restructuring accruals. Restructuring activities are expected to be completed by the end of the second quarter of fiscal 2001.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March 1999, the Company's Board of Directors approved a restructuring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the reorganization of sales and marketing functions in Germany,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England and the United States, by consolidating worldwide sales and 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resources into strategic locations. The original related charge of $1,452,909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($581,164 net of tax benefits) consisted of $151,038 of existing commitments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 on facilities vacated by the Company in Hamburg, Nurnberg, and Frankfurt,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 and $1,301,871 of termination payments associated with the elimination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44 positions in Dortmund, Germany; Bagshot, England; Sunnyvale,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Minnetonka, Minnesota.</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December 31, 1999, the Company had paid $906,299 of termination costs relating to the elimination of 33 positions. Restructuring activities were completed as of December 1999. During the second quarter of fiscal 2000, the final severance and termination expenses were paid, and the Company adjusted the remaining restructuring accrual to zero. In fiscal 2000, severance and termination costs of $146,767 and rent commitment payments of $7,312 were charged to the restructuring accrual. Changes in estimate for severance and termination costs of $124,937 and rent commitments of $13,160 were recorded as a reduction of the restructuring accrual with a corresponding increase to operating income during the year ended September 30, 2000.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July 1998, the Company's Board of Directors approved a restructuring plan related to the consolidation of its offices in Germany and England. The restructuring plan relates to the closure of existing leased facilities rendered redundant by the acquisition of ITK. The original charge of $1,020,000 ($647,000 net of tax benefits), consisted of $61,483 of noncancellable rent commitments the Company expected to incur following closure of the Cologne, Germany facility; $100,110 of contractual payment obligations for office furniture and other equipment the Company expected to incur following the closure of the Cologne, Germany facility; $202,039 related to the write-off of leasehold improvements in connection with the closure of the Cologne, Germany facility; and $656,368 of termination payments associated with the elimination of six positions in Cologne, Germany and Bagshot, England.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closed the Cologne facility in December 1998. As of December 31, 1999, the Company had paid $301,044 of termination costs relating to the elimination of two positions. Restructuring activities were completed as of June 1999. In the third quarter of fiscal 2000, the Company adjusted the remaining restructuring accrual to zero, as all obligations had been satisfied. In fiscal year 2000, rent commitment payments of $12,636 and payments of $27,646 for write-off of leasehold improvements were charged to the restructuring accrual. Changes in estimate for rent commitments of $2,573 and write-off of leasehold improvements of $9,680 were recorded as a reduction of the restructuring accrual with a corresponding increase to operating income during the year ended September 30, 2000.</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connection with the Company's acquisition of ITK, the Company formulated a plan of reorganization and, accordingly, recognized a $3,484,000 restructuring liability which the Company has included as a component of total liabilities assumed in the acquisition. Components of the original estimated liability included $1,844,000 of termination payments associated with 10 employees the Company expected to</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RESTRUCTURING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eliminate at the Chelmsford, Massachusetts ITK location and 20 employees the Company expected to eliminate at the Dortmund, Germany location and $1,640,000 of noncancellable rent obligations for facilities the Company expected to incur following closure of facilities in Chelmsford, Massachusetts and Bristol and Newbury, England.</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vacated the Chelmsford, Bristol, and Newbury facilities in March 1999, October 1998 and May 1999, respectively. Restructuring activities were completed as of June 1999. During the second quarter of fiscal 2000, the final severance, termination and facility closure costs were paid. In fiscal 2000, severance and termination costs of $5,217 and facility closure costs of $1,928 were charged against the restructuring accrual. Changes in estimate relating to severance and termination costs of $17,652 and facilities closures of $33,469 were recorded as a reduction in the restructuring accrual with corresponding offsets to goodwill during the year ended September 30, 2000.</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connection with the Company's acquisition of CDC, the Company formulated a plan of reorganization and, accordingly, recognized a $750,000 restructuring liability which the Company has included as a component of total liabilities assumed in the acquisition. Components of this estimated liability included $675,000 of termination payments, associated with 22 employees the Company expected to eliminate when it closed the Champaign, Illinois facility in January 1999 and $75,000 related to facility closure costs the Company expected to incur following closure and sale of the Champaign, Illinois facility. Restructuring activities were completed as of June 1999. During the second quarter of fiscal 2000, the Company paid the final severance costs of $7,128 associated with this restructuring and the accrual was adjusted to zero. Total payments against the restructuring accrual in fiscal year 2000 included severance and termination costs of $88,661. An additional expense of $3,340 was also recorded related to a change in estimate in the original restructuring accrual. Adjustments to the restructuring accrual were reflected as changes to the restructuring accrual with corresponding offsets to goodwill.</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RESTRUCTURING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restructuring activities are summarized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BALANCE AT</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CHANGE IN</w:t>
            </w:r>
          </w:p>
        </w:tc>
        <w:tc>
          <w:tcPr>
            <w:tcW w:w="12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BALANCE AT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SEPTEMBER 30,</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ESTIMATE</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3620" w:type="dxa"/>
            <w:vAlign w:val="bottom"/>
          </w:tcPr>
          <w:p>
            <w:pPr>
              <w:ind w:left="2420"/>
              <w:spacing w:after="0"/>
              <w:rPr>
                <w:sz w:val="20"/>
                <w:szCs w:val="20"/>
                <w:color w:val="auto"/>
              </w:rPr>
            </w:pPr>
            <w:r>
              <w:rPr>
                <w:rFonts w:ascii="Courier New" w:cs="Courier New" w:eastAsia="Courier New" w:hAnsi="Courier New"/>
                <w:sz w:val="14"/>
                <w:szCs w:val="14"/>
                <w:color w:val="auto"/>
              </w:rPr>
              <w:t>DESCRIPTION</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PROVISION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PAYMENTS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ADJUSTMENTS</w:t>
            </w:r>
          </w:p>
        </w:tc>
        <w:tc>
          <w:tcPr>
            <w:tcW w:w="34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620" w:type="dxa"/>
            <w:vAlign w:val="bottom"/>
          </w:tcPr>
          <w:p>
            <w:pPr>
              <w:ind w:left="2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September 2000 European Restructuring Plan: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Severance and termination costs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$1,252,531</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1,252,531</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Office lease cancellation fees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134,227</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134,227</w:t>
            </w:r>
          </w:p>
        </w:tc>
      </w:tr>
      <w:tr>
        <w:trPr>
          <w:trHeight w:val="331"/>
        </w:trPr>
        <w:tc>
          <w:tcPr>
            <w:tcW w:w="53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 Other lease cancellation fees and contractual payments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100,684</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100,684</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Legal costs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44,550</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44,550</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1,531,992</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1,531,992</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March 1999 Sales and Marketing Restructuring Plan:</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Severance and termination costs</w:t>
            </w:r>
          </w:p>
        </w:tc>
        <w:tc>
          <w:tcPr>
            <w:tcW w:w="17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271,704</w:t>
            </w:r>
          </w:p>
        </w:tc>
        <w:tc>
          <w:tcPr>
            <w:tcW w:w="10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(146,767)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(124,937)</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Rent commitments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20,472</w:t>
            </w:r>
          </w:p>
        </w:tc>
        <w:tc>
          <w:tcPr>
            <w:tcW w:w="10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(13,160)</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292,176</w:t>
            </w:r>
          </w:p>
        </w:tc>
        <w:tc>
          <w:tcPr>
            <w:tcW w:w="10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(154,079)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(138,097)</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July 1998 European Restructuring Plan:</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Rent commitments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15,209</w:t>
            </w:r>
          </w:p>
        </w:tc>
        <w:tc>
          <w:tcPr>
            <w:tcW w:w="10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(12,636)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(2,573)</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Write-offs of leasehold improvements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37,326</w:t>
            </w:r>
          </w:p>
        </w:tc>
        <w:tc>
          <w:tcPr>
            <w:tcW w:w="10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(27,646)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(9,680)</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52,535</w:t>
            </w:r>
          </w:p>
        </w:tc>
        <w:tc>
          <w:tcPr>
            <w:tcW w:w="10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(40,282)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(12,253)</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July 1998 ITK Acquisition Restructuring Plan:</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Severance and termination costs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22,869</w:t>
            </w:r>
          </w:p>
        </w:tc>
        <w:tc>
          <w:tcPr>
            <w:tcW w:w="10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(17,652)</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Facility closures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35,397</w:t>
            </w:r>
          </w:p>
        </w:tc>
        <w:tc>
          <w:tcPr>
            <w:tcW w:w="10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(33,469)</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58,266</w:t>
            </w:r>
          </w:p>
        </w:tc>
        <w:tc>
          <w:tcPr>
            <w:tcW w:w="10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(51,121)</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July 1998 CDC Acquisition Restructuring Plan:</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 Severance and termination costs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85,321</w:t>
            </w:r>
          </w:p>
        </w:tc>
        <w:tc>
          <w:tcPr>
            <w:tcW w:w="10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(88,661)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3,340</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85,321</w:t>
            </w:r>
          </w:p>
        </w:tc>
        <w:tc>
          <w:tcPr>
            <w:tcW w:w="10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(88,661)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3,340</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172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488,298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$1,531,992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(290,167)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(198,131)</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1,531,992</w:t>
            </w:r>
          </w:p>
        </w:tc>
      </w:tr>
      <w:tr>
        <w:trPr>
          <w:trHeight w:val="166"/>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5. SEGMENT INFORMATION AND MAJOR CUSTOMERS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The Company operates in one reportable segment. The operations of the Company</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7760" w:type="dxa"/>
            <w:vAlign w:val="bottom"/>
            <w:gridSpan w:val="5"/>
          </w:tcPr>
          <w:p>
            <w:pPr>
              <w:spacing w:after="0"/>
              <w:rPr>
                <w:sz w:val="20"/>
                <w:szCs w:val="20"/>
                <w:color w:val="auto"/>
              </w:rPr>
            </w:pPr>
            <w:r>
              <w:rPr>
                <w:rFonts w:ascii="Courier New" w:cs="Courier New" w:eastAsia="Courier New" w:hAnsi="Courier New"/>
                <w:sz w:val="14"/>
                <w:szCs w:val="14"/>
                <w:color w:val="auto"/>
              </w:rPr>
              <w:t>are primarily conducted in the Unites States, the Company's country of domicile.</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Geographic data, determined by reference to the location of the Company's</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operations for the years ended September 30, are as follows: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Revenue by geographic area:</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7"/>
        </w:trPr>
        <w:tc>
          <w:tcPr>
            <w:tcW w:w="3620" w:type="dxa"/>
            <w:vAlign w:val="bottom"/>
          </w:tcPr>
          <w:p>
            <w:pPr>
              <w:spacing w:after="0"/>
              <w:rPr>
                <w:sz w:val="24"/>
                <w:szCs w:val="24"/>
                <w:color w:val="auto"/>
              </w:rPr>
            </w:pPr>
          </w:p>
        </w:tc>
        <w:tc>
          <w:tcPr>
            <w:tcW w:w="414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Year Ended September 30,</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620" w:type="dxa"/>
            <w:vAlign w:val="bottom"/>
          </w:tcPr>
          <w:p>
            <w:pPr>
              <w:spacing w:after="0"/>
              <w:rPr>
                <w:sz w:val="14"/>
                <w:szCs w:val="14"/>
                <w:color w:val="auto"/>
              </w:rPr>
            </w:pPr>
          </w:p>
        </w:tc>
        <w:tc>
          <w:tcPr>
            <w:tcW w:w="53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$111,740,818</w:t>
            </w:r>
          </w:p>
        </w:tc>
        <w:tc>
          <w:tcPr>
            <w:tcW w:w="520" w:type="dxa"/>
            <w:vAlign w:val="bottom"/>
          </w:tcPr>
          <w:p>
            <w:pPr>
              <w:spacing w:after="0"/>
              <w:rPr>
                <w:sz w:val="24"/>
                <w:szCs w:val="2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$164,329,109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$171,385,998</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18,458,398</w:t>
            </w:r>
          </w:p>
        </w:tc>
        <w:tc>
          <w:tcPr>
            <w:tcW w:w="520" w:type="dxa"/>
            <w:vAlign w:val="bottom"/>
          </w:tcPr>
          <w:p>
            <w:pPr>
              <w:spacing w:after="0"/>
              <w:rPr>
                <w:sz w:val="14"/>
                <w:szCs w:val="1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26,948,248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9,573,107</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Asia</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1,187,683</w:t>
            </w:r>
          </w:p>
        </w:tc>
        <w:tc>
          <w:tcPr>
            <w:tcW w:w="520" w:type="dxa"/>
            <w:vAlign w:val="bottom"/>
          </w:tcPr>
          <w:p>
            <w:pPr>
              <w:spacing w:after="0"/>
              <w:rPr>
                <w:sz w:val="14"/>
                <w:szCs w:val="1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1,249,157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1,205,606</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Australia</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1,137,731</w:t>
            </w:r>
          </w:p>
        </w:tc>
        <w:tc>
          <w:tcPr>
            <w:tcW w:w="520" w:type="dxa"/>
            <w:vAlign w:val="bottom"/>
          </w:tcPr>
          <w:p>
            <w:pPr>
              <w:spacing w:after="0"/>
              <w:rPr>
                <w:sz w:val="14"/>
                <w:szCs w:val="1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979,545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766,959</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$132,524,630</w:t>
            </w:r>
          </w:p>
        </w:tc>
        <w:tc>
          <w:tcPr>
            <w:tcW w:w="520" w:type="dxa"/>
            <w:vAlign w:val="bottom"/>
          </w:tcPr>
          <w:p>
            <w:pPr>
              <w:spacing w:after="0"/>
              <w:rPr>
                <w:sz w:val="14"/>
                <w:szCs w:val="1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$193,506,059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$182,931,670</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380"/>
          </w:cols>
          <w:pgMar w:left="220" w:top="285" w:right="29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380"/>
          </w:cols>
          <w:pgMar w:left="220" w:top="285" w:right="299" w:bottom="757"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ind w:right="5579" w:firstLine="8"/>
        <w:spacing w:after="0" w:line="505" w:lineRule="auto"/>
        <w:tabs>
          <w:tab w:leader="none" w:pos="25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 AND MAJOR CUSTOMERS (CONTINUED) Net long-lived assets by geographic area: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 Ended September 30,</w:t>
            </w:r>
          </w:p>
        </w:tc>
        <w:tc>
          <w:tcPr>
            <w:tcW w:w="146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6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2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72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$35,232,754</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$40,921,789</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$48,218,876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5,573,374</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37,125,699</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49,374,482</w:t>
            </w:r>
          </w:p>
        </w:tc>
      </w:tr>
      <w:tr>
        <w:trPr>
          <w:trHeight w:val="166"/>
        </w:trPr>
        <w:tc>
          <w:tcPr>
            <w:tcW w:w="272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net long-lived</w:t>
            </w:r>
          </w:p>
        </w:tc>
        <w:tc>
          <w:tcPr>
            <w:tcW w:w="20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$40,806,128</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$78,047,488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$97,593,358</w:t>
            </w:r>
          </w:p>
        </w:tc>
      </w:tr>
      <w:tr>
        <w:trPr>
          <w:trHeight w:val="166"/>
        </w:trPr>
        <w:tc>
          <w:tcPr>
            <w:tcW w:w="272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foreign export sales, primarily to Europe, comprised 34.8%, 34.8%, and 25.5% of net sales for the years ended September 30, 2000, 1999 and 1998, respectively.</w:t>
      </w:r>
    </w:p>
    <w:p>
      <w:pPr>
        <w:spacing w:after="0" w:line="163"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During 2000, one customer accounted for 13.4% of net sales and 14.7% of the trade accounts receivable as of September 30, 2000, while another accounted for 10.0% of net sales and 25.4% of the trade accounts receivable as of September 30, 2000.</w:t>
      </w:r>
    </w:p>
    <w:p>
      <w:pPr>
        <w:spacing w:after="0" w:line="327"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During 1999, one customer accounted for 15.4% of net sales and 8.7% of the trade accounts receivable as of September 30, 1999, while another accounted for 13.4% of net sales and 22.5% of the trade accounts receivable as of September 30, 1999.</w:t>
      </w:r>
    </w:p>
    <w:p>
      <w:pPr>
        <w:spacing w:after="0" w:line="327"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During 1998, one customer accounted for 15.5% of net sales and 26.0% of the trade accounts receivable as of September 30, 1998, while another accounted for 13.7% of net sales and 10.0% of the trade accounts receivable as of September 30, 1998.</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INVESTMENT IN AETHERWORKS CORPORATION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May 1998, the Company exchanged its previously purchased $13,796,525 of convertible notes from AetherWorks Corporation, a development stage company engaged in the development of wireless and dial-up remote access technology, for a non-interest bearing $8,000,000 non-convertible note. As a part of the exchange, the Company relinquished its rights to any future technology or claims on any of AetherWorks' intellectual properties. In exchange, the Company was released from all of its guarantees of certain lease obligations of AetherWorks. As a result, the Company reversed its $1,350,000 accrual established in the fourth quarter of 1997, for the estimated cost related to its guarantee of such lease obligations and included such amount in AetherWorks Corporation gain for the year ended September 30, 1998.</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Due to the significant uncertainty as to its collectibility, the $8,000,000 note was recorded by the Company as having no carrying value.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March 2000, the Company received a payment of $8,000,000 from AetherWorks, representing payment on the aforementioned non-convertible note. The note was paid as a result of AetherWorks Corporation being acquired by Nx Networks, Inc. As a result of this payment, the Company recorded $8,000,000 of other income during the year ended September 30,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INVESTMENT IN AETHERWORKS CORPORATION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leased to AetherWorks $1,325,000 of computer equipment under a three-year direct financing lease, expiring in August 2000. The lease contained an option for AetherWorks to acquire the equipment for $132,598 upon termination of the lease, and with 30 days' prior written notice. AetherWorks did not exercise its option to acquire the equipment, and the equipment was returned to the Company in September 2000.</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SELECTED BALANCE SHEET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Trade accounts receivable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24,361,734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40,716,380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Less reserve for product returns</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and doubtful accounts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6,186,508</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6,760,711</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18,175,226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33,955,669</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Raw materials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16,569,851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17,487,552</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Work in process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1,092,654</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2,162,626</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Finished goods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6,111,130</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7,335,755</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23,773,635</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26,985,933</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Less reserve for obsolescence</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4,073,625</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4,539,266</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19,700,010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22,446,667</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Property, equipment and improvements, net:</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2,202,241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2,533,666</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Buildings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17,641,451</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19,338,618</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Improvements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1,254,023</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580,286</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Equipment</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22,218,933</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22,991,088</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Purchased software</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9,504,099</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8,872,121</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Furniture and fixtures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1,505,238</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1,462,338</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54,325,985</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55,778,117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29,917,601</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25,535,240</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24,408,384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30,242,877</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Purchased technology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9,400,000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30,010,858</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License agreements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2,915,600</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2,559,067</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Assembled workforce</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1,800,000</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698,369</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1,228,225</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Goodwill</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16,216,257</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29,826,194</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29,630,226</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65,424,344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13,232,482</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17,619,733</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16,397,744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47,804,611</w:t>
            </w:r>
          </w:p>
        </w:tc>
      </w:tr>
      <w:tr>
        <w:trPr>
          <w:trHeight w:val="166"/>
        </w:trPr>
        <w:tc>
          <w:tcPr>
            <w:tcW w:w="38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3880" w:type="dxa"/>
            <w:vAlign w:val="bottom"/>
          </w:tcPr>
          <w:p>
            <w:pPr>
              <w:ind w:left="3360"/>
              <w:spacing w:after="0"/>
              <w:rPr>
                <w:sz w:val="20"/>
                <w:szCs w:val="20"/>
                <w:color w:val="auto"/>
              </w:rPr>
            </w:pPr>
            <w:r>
              <w:rPr>
                <w:rFonts w:ascii="Courier New" w:cs="Courier New" w:eastAsia="Courier New" w:hAnsi="Courier New"/>
                <w:sz w:val="14"/>
                <w:szCs w:val="14"/>
                <w:color w:val="auto"/>
              </w:rPr>
              <w:t>40</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BORROWINGS UNDER LINE OF CREDIT AGREEMENTS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maintains lines of credit with various financial institutions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for borrowings of up to $14,497,000, depending upon levels of eligible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and inventories. As of September 30, 2000 and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$3,147,900 and $4,759,095 was borrowed under these line of credit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lines of credit agreements provide for interest rates ranging from 5.75%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15.75% as of September 30, 2000 and 1999. In addition, the Company maintains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deposited in a financial institution as a collateral pledge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certain short-term debt balances outstanding at September 30, 2000.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 is included in marketable securities at September 30, 2000.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 pledge is for a period of six months ending March 31, 2001.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9. LONG-TERM DEBT</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Long-term debt consists of</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the following at September 30,</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63"/>
        </w:trPr>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5.5%</w:t>
            </w:r>
          </w:p>
        </w:tc>
        <w:tc>
          <w:tcPr>
            <w:tcW w:w="4900" w:type="dxa"/>
            <w:vAlign w:val="bottom"/>
            <w:gridSpan w:val="3"/>
          </w:tcPr>
          <w:p>
            <w:pPr>
              <w:spacing w:after="0"/>
              <w:rPr>
                <w:sz w:val="20"/>
                <w:szCs w:val="20"/>
                <w:color w:val="auto"/>
              </w:rPr>
            </w:pPr>
            <w:r>
              <w:rPr>
                <w:rFonts w:ascii="Courier New" w:cs="Courier New" w:eastAsia="Courier New" w:hAnsi="Courier New"/>
                <w:sz w:val="14"/>
                <w:szCs w:val="14"/>
                <w:color w:val="auto"/>
              </w:rPr>
              <w:t>fixed rate long-term collateralized note</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1,353,068</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5.2%</w:t>
            </w:r>
          </w:p>
        </w:tc>
        <w:tc>
          <w:tcPr>
            <w:tcW w:w="4900" w:type="dxa"/>
            <w:vAlign w:val="bottom"/>
            <w:gridSpan w:val="3"/>
          </w:tcPr>
          <w:p>
            <w:pPr>
              <w:spacing w:after="0"/>
              <w:rPr>
                <w:sz w:val="20"/>
                <w:szCs w:val="20"/>
                <w:color w:val="auto"/>
              </w:rPr>
            </w:pPr>
            <w:r>
              <w:rPr>
                <w:rFonts w:ascii="Courier New" w:cs="Courier New" w:eastAsia="Courier New" w:hAnsi="Courier New"/>
                <w:sz w:val="14"/>
                <w:szCs w:val="14"/>
                <w:color w:val="auto"/>
              </w:rPr>
              <w:t>fixed rate long-term collateralized note</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944,370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6.3%</w:t>
            </w:r>
          </w:p>
        </w:tc>
        <w:tc>
          <w:tcPr>
            <w:tcW w:w="4900" w:type="dxa"/>
            <w:vAlign w:val="bottom"/>
            <w:gridSpan w:val="3"/>
          </w:tcPr>
          <w:p>
            <w:pPr>
              <w:spacing w:after="0"/>
              <w:rPr>
                <w:sz w:val="20"/>
                <w:szCs w:val="20"/>
                <w:color w:val="auto"/>
              </w:rPr>
            </w:pPr>
            <w:r>
              <w:rPr>
                <w:rFonts w:ascii="Courier New" w:cs="Courier New" w:eastAsia="Courier New" w:hAnsi="Courier New"/>
                <w:sz w:val="14"/>
                <w:szCs w:val="14"/>
                <w:color w:val="auto"/>
              </w:rPr>
              <w:t>fixed rate long-term collateralized note</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3,194,044</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6.0%</w:t>
            </w:r>
          </w:p>
        </w:tc>
        <w:tc>
          <w:tcPr>
            <w:tcW w:w="4900" w:type="dxa"/>
            <w:vAlign w:val="bottom"/>
            <w:gridSpan w:val="3"/>
          </w:tcPr>
          <w:p>
            <w:pPr>
              <w:spacing w:after="0"/>
              <w:rPr>
                <w:sz w:val="20"/>
                <w:szCs w:val="20"/>
                <w:color w:val="auto"/>
              </w:rPr>
            </w:pPr>
            <w:r>
              <w:rPr>
                <w:rFonts w:ascii="Courier New" w:cs="Courier New" w:eastAsia="Courier New" w:hAnsi="Courier New"/>
                <w:sz w:val="14"/>
                <w:szCs w:val="14"/>
                <w:color w:val="auto"/>
              </w:rPr>
              <w:t>fixed rate long-term uncollateralized notes</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1,618,920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5.0%</w:t>
            </w:r>
          </w:p>
        </w:tc>
        <w:tc>
          <w:tcPr>
            <w:tcW w:w="4900" w:type="dxa"/>
            <w:vAlign w:val="bottom"/>
            <w:gridSpan w:val="3"/>
          </w:tcPr>
          <w:p>
            <w:pPr>
              <w:spacing w:after="0"/>
              <w:rPr>
                <w:sz w:val="20"/>
                <w:szCs w:val="20"/>
                <w:color w:val="auto"/>
              </w:rPr>
            </w:pPr>
            <w:r>
              <w:rPr>
                <w:rFonts w:ascii="Courier New" w:cs="Courier New" w:eastAsia="Courier New" w:hAnsi="Courier New"/>
                <w:sz w:val="14"/>
                <w:szCs w:val="14"/>
                <w:color w:val="auto"/>
              </w:rPr>
              <w:t>to 10.6% subsidized long-term notes</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301,299</w:t>
            </w:r>
          </w:p>
        </w:tc>
      </w:tr>
      <w:tr>
        <w:trPr>
          <w:trHeight w:val="166"/>
        </w:trPr>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7,411,701</w:t>
            </w:r>
          </w:p>
        </w:tc>
      </w:tr>
      <w:tr>
        <w:trPr>
          <w:trHeight w:val="166"/>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Less current portion</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330,305</w:t>
            </w:r>
          </w:p>
        </w:tc>
      </w:tr>
      <w:tr>
        <w:trPr>
          <w:trHeight w:val="166"/>
        </w:trPr>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7,081,396</w:t>
            </w:r>
          </w:p>
        </w:tc>
      </w:tr>
      <w:tr>
        <w:trPr>
          <w:trHeight w:val="166"/>
        </w:trPr>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Debt Maturity Schedule</w:t>
            </w: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Maturities as of September</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FISCAL</w:t>
            </w:r>
          </w:p>
        </w:tc>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YEAR</w:t>
            </w:r>
          </w:p>
        </w:tc>
        <w:tc>
          <w:tcPr>
            <w:tcW w:w="9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960" w:type="dxa"/>
            <w:vAlign w:val="bottom"/>
            <w:gridSpan w:val="2"/>
          </w:tcPr>
          <w:p>
            <w:pPr>
              <w:jc w:val="right"/>
              <w:ind w:right="28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ind w:left="8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330,305</w:t>
            </w: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1,518,187</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827,448</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348,967</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410,126</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Thereafter</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3,976,668</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Total</w:t>
            </w:r>
          </w:p>
        </w:tc>
        <w:tc>
          <w:tcPr>
            <w:tcW w:w="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$7,411,701</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5.5% fixed rate long-term note is due on September 30, 2017, and is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semi-annual installments beginning September 2000. The 5.2% fixed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note is due on December 30, 2017, and is payable in semi-annual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installments beginning June 2001. The 6.3% fixed rate long-term note is due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2016, and is payable in semi-annual installments beginning March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Interest on the notes is payable on a quarterly basis. These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collateralized by land, buildings and equipment with a carrying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$5,074,872 of September 30, 2000. The 6.0% fixed rate long-term uncollateralized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are due on November 5, 2001 ($1,169,220) and on September 15,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($449,700). Interest is payable annually on the 2001 note, and payable on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basis for the 2003 notes.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1999</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hanging="180"/>
        <w:spacing w:after="0"/>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1,688,260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1,143,660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4,356,800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1,960,560</w:t>
      </w:r>
    </w:p>
    <w:p>
      <w:pPr>
        <w:spacing w:after="0" w:line="7"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386,666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539"/>
        <w:spacing w:after="0"/>
        <w:rPr>
          <w:sz w:val="20"/>
          <w:szCs w:val="20"/>
          <w:color w:val="auto"/>
        </w:rPr>
      </w:pPr>
      <w:r>
        <w:rPr>
          <w:rFonts w:ascii="Courier New" w:cs="Courier New" w:eastAsia="Courier New" w:hAnsi="Courier New"/>
          <w:sz w:val="14"/>
          <w:szCs w:val="14"/>
          <w:color w:val="auto"/>
        </w:rPr>
        <w:t>9,535,946</w:t>
      </w:r>
    </w:p>
    <w:p>
      <w:pPr>
        <w:spacing w:after="0" w:line="7" w:lineRule="exact"/>
        <w:rPr>
          <w:sz w:val="20"/>
          <w:szCs w:val="20"/>
          <w:color w:val="auto"/>
        </w:rPr>
      </w:pPr>
    </w:p>
    <w:p>
      <w:pPr>
        <w:jc w:val="right"/>
        <w:ind w:right="1539"/>
        <w:spacing w:after="0"/>
        <w:rPr>
          <w:sz w:val="20"/>
          <w:szCs w:val="20"/>
          <w:color w:val="auto"/>
        </w:rPr>
      </w:pPr>
      <w:r>
        <w:rPr>
          <w:rFonts w:ascii="Courier New" w:cs="Courier New" w:eastAsia="Courier New" w:hAnsi="Courier New"/>
          <w:sz w:val="14"/>
          <w:szCs w:val="14"/>
          <w:color w:val="auto"/>
        </w:rPr>
        <w:t>330,028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539"/>
        <w:spacing w:after="0"/>
        <w:rPr>
          <w:sz w:val="20"/>
          <w:szCs w:val="20"/>
          <w:color w:val="auto"/>
        </w:rPr>
      </w:pPr>
      <w:r>
        <w:rPr>
          <w:rFonts w:ascii="Courier New" w:cs="Courier New" w:eastAsia="Courier New" w:hAnsi="Courier New"/>
          <w:sz w:val="14"/>
          <w:szCs w:val="14"/>
          <w:color w:val="auto"/>
        </w:rPr>
        <w:t>$9,205,918</w:t>
      </w:r>
    </w:p>
    <w:p>
      <w:pPr>
        <w:spacing w:after="0" w:line="7" w:lineRule="exact"/>
        <w:rPr>
          <w:sz w:val="20"/>
          <w:szCs w:val="20"/>
          <w:color w:val="auto"/>
        </w:rPr>
      </w:pPr>
    </w:p>
    <w:p>
      <w:pPr>
        <w:jc w:val="right"/>
        <w:ind w:right="15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960" w:space="720"/>
            <w:col w:w="255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LONG-TERM DEBT (CONTINUED)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subsidized long-term notes bear interest rates ranging from 5% to 10.6% and are due at various dates through 2006. All borrowings under these notes are uncollateralized.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expects to pay all long-term debt associated with the facility in Dortmund, Germany upon the sale of the facility (see Note 3), which is expected to take place by the end of the second quarter of fiscal 2001. Total long-term debt related to the facility in Dortmund, Germany is $7,411,701 at September 30, 2000.</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(benefit) provision for income taxes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 1999, and 1998 are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20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Currently payable:</w:t>
            </w: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667,992</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$ 6,201,277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$9,768,927</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228,288</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705,378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766,704</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(5,234,720)</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(2,119,056)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(1,251,611)</w:t>
            </w:r>
          </w:p>
        </w:tc>
      </w:tr>
      <w:tr>
        <w:trPr>
          <w:trHeight w:val="166"/>
        </w:trPr>
        <w:tc>
          <w:tcPr>
            <w:tcW w:w="220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$(4,338,440)</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$ 4,787,599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$9,284,020</w:t>
            </w:r>
          </w:p>
        </w:tc>
      </w:tr>
      <w:tr>
        <w:trPr>
          <w:trHeight w:val="166"/>
        </w:trPr>
        <w:tc>
          <w:tcPr>
            <w:tcW w:w="220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net deferred tax asset at September 30, 2000 and 1999 consists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500" w:type="dxa"/>
            <w:vAlign w:val="bottom"/>
          </w:tcPr>
          <w:p>
            <w:pPr>
              <w:spacing w:after="0"/>
              <w:rPr>
                <w:sz w:val="14"/>
                <w:szCs w:val="14"/>
                <w:color w:val="auto"/>
              </w:rPr>
            </w:pP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Valuation reserves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$ 2,016,254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$ 3,059,266</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168,128</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228,442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Compensation costs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589,685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600,991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2,582,194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5,772,000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(2,113,800)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(9,203,133)</w:t>
            </w:r>
          </w:p>
        </w:tc>
      </w:tr>
      <w:tr>
        <w:trPr>
          <w:trHeight w:val="166"/>
        </w:trPr>
        <w:tc>
          <w:tcPr>
            <w:tcW w:w="3500" w:type="dxa"/>
            <w:vAlign w:val="bottom"/>
          </w:tcPr>
          <w:p>
            <w:pPr>
              <w:spacing w:after="0"/>
              <w:rPr>
                <w:sz w:val="14"/>
                <w:szCs w:val="14"/>
                <w:color w:val="auto"/>
              </w:rPr>
            </w:pP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deferred tax asset</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$ 3,242,461</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457,566</w:t>
            </w:r>
          </w:p>
        </w:tc>
      </w:tr>
      <w:tr>
        <w:trPr>
          <w:trHeight w:val="166"/>
        </w:trPr>
        <w:tc>
          <w:tcPr>
            <w:tcW w:w="3500" w:type="dxa"/>
            <w:vAlign w:val="bottom"/>
          </w:tcPr>
          <w:p>
            <w:pPr>
              <w:spacing w:after="0"/>
              <w:rPr>
                <w:sz w:val="14"/>
                <w:szCs w:val="14"/>
                <w:color w:val="auto"/>
              </w:rPr>
            </w:pP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 deferred tax asset consists of the following at September 30: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9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w:t>
            </w:r>
          </w:p>
        </w:tc>
        <w:tc>
          <w:tcPr>
            <w:tcW w:w="1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760" w:type="dxa"/>
            <w:vAlign w:val="bottom"/>
          </w:tcPr>
          <w:p>
            <w:pPr>
              <w:spacing w:after="0"/>
              <w:rPr>
                <w:sz w:val="14"/>
                <w:szCs w:val="14"/>
                <w:color w:val="auto"/>
              </w:rPr>
            </w:pP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Current deferred tax asset</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$ 2,774,067</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$ 3,888,699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non-current deferred tax asset</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468,394</w:t>
            </w:r>
          </w:p>
        </w:tc>
        <w:tc>
          <w:tcPr>
            <w:tcW w:w="158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non-current deferred tax liability</w:t>
            </w:r>
          </w:p>
        </w:tc>
        <w:tc>
          <w:tcPr>
            <w:tcW w:w="19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(3,431,133)</w:t>
            </w:r>
          </w:p>
        </w:tc>
      </w:tr>
      <w:tr>
        <w:trPr>
          <w:trHeight w:val="166"/>
        </w:trPr>
        <w:tc>
          <w:tcPr>
            <w:tcW w:w="3760" w:type="dxa"/>
            <w:vAlign w:val="bottom"/>
          </w:tcPr>
          <w:p>
            <w:pPr>
              <w:spacing w:after="0"/>
              <w:rPr>
                <w:sz w:val="14"/>
                <w:szCs w:val="14"/>
                <w:color w:val="auto"/>
              </w:rPr>
            </w:pP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$ 3,242,461</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457,566</w:t>
            </w:r>
          </w:p>
        </w:tc>
      </w:tr>
      <w:tr>
        <w:trPr>
          <w:trHeight w:val="166"/>
        </w:trPr>
        <w:tc>
          <w:tcPr>
            <w:tcW w:w="3760" w:type="dxa"/>
            <w:vAlign w:val="bottom"/>
          </w:tcPr>
          <w:p>
            <w:pPr>
              <w:spacing w:after="0"/>
              <w:rPr>
                <w:sz w:val="14"/>
                <w:szCs w:val="14"/>
                <w:color w:val="auto"/>
              </w:rPr>
            </w:pP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of September 30, 2000 and 1999, the Company's consolidated financial statements include $2,113,801 and $9,203,133, respectively, of deferred tax liabilities related to the identifiable intangible assets that were acquired as part of the ITK and CDC acquisitions.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INCOME TAXES (CONTINUED)</w:t>
      </w:r>
    </w:p>
    <w:p>
      <w:pPr>
        <w:spacing w:after="0" w:line="173" w:lineRule="exact"/>
        <w:rPr>
          <w:sz w:val="20"/>
          <w:szCs w:val="20"/>
          <w:color w:val="auto"/>
        </w:rPr>
      </w:pPr>
    </w:p>
    <w:p>
      <w:pPr>
        <w:ind w:right="80"/>
        <w:spacing w:after="0" w:line="252" w:lineRule="auto"/>
        <w:rPr>
          <w:sz w:val="20"/>
          <w:szCs w:val="20"/>
          <w:color w:val="auto"/>
        </w:rPr>
      </w:pPr>
      <w:r>
        <w:rPr>
          <w:rFonts w:ascii="Courier New" w:cs="Courier New" w:eastAsia="Courier New" w:hAnsi="Courier New"/>
          <w:sz w:val="14"/>
          <w:szCs w:val="14"/>
          <w:color w:val="auto"/>
        </w:rPr>
        <w:t>Deferred tax liabilities of $5,327,981 were eliminated as a result of the write-off of the identifiable intangible assets of ITK during fiscal year 2000. (See Note 3.)</w:t>
      </w:r>
    </w:p>
    <w:p>
      <w:pPr>
        <w:spacing w:after="0" w:line="163" w:lineRule="exact"/>
        <w:rPr>
          <w:sz w:val="20"/>
          <w:szCs w:val="20"/>
          <w:color w:val="auto"/>
        </w:rPr>
      </w:pPr>
    </w:p>
    <w:p>
      <w:pPr>
        <w:ind w:right="260"/>
        <w:spacing w:after="0" w:line="252" w:lineRule="auto"/>
        <w:rPr>
          <w:sz w:val="20"/>
          <w:szCs w:val="20"/>
          <w:color w:val="auto"/>
        </w:rPr>
      </w:pPr>
      <w:r>
        <w:rPr>
          <w:rFonts w:ascii="Courier New" w:cs="Courier New" w:eastAsia="Courier New" w:hAnsi="Courier New"/>
          <w:sz w:val="14"/>
          <w:szCs w:val="14"/>
          <w:color w:val="auto"/>
        </w:rPr>
        <w:t>As of September 30, 2000 and 1999, the Company had federal net operating loss carryforwards of approximately $7.6 million and $14.8 million, respectively, which expire at various dates through 2011.</w:t>
      </w:r>
    </w:p>
    <w:p>
      <w:pPr>
        <w:spacing w:after="0" w:line="16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The reconciliation of the statutory federal income tax rate with the Company's effective income tax rate for the years ended September 30, 2000, 1999, and 1998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78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Statutory income tax rate</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Increase (reduction) resulting from:</w:t>
            </w:r>
          </w:p>
        </w:tc>
        <w:tc>
          <w:tcPr>
            <w:tcW w:w="1440" w:type="dxa"/>
            <w:vAlign w:val="bottom"/>
          </w:tcPr>
          <w:p>
            <w:pPr>
              <w:spacing w:after="0"/>
              <w:rPr>
                <w:sz w:val="14"/>
                <w:szCs w:val="1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State taxes, net of federal benefits</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Utilization of low income housing credits</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AetherWorks Corporation recovery</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Acquired in-process research and development</w:t>
            </w:r>
          </w:p>
        </w:tc>
        <w:tc>
          <w:tcPr>
            <w:tcW w:w="1440" w:type="dxa"/>
            <w:vAlign w:val="bottom"/>
          </w:tcPr>
          <w:p>
            <w:pPr>
              <w:spacing w:after="0"/>
              <w:rPr>
                <w:sz w:val="14"/>
                <w:szCs w:val="1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Impairment loss, net of deferred taxes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Non-deductible intangible amortization</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Foreign operations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r>
      <w:tr>
        <w:trPr>
          <w:trHeight w:val="166"/>
        </w:trPr>
        <w:tc>
          <w:tcPr>
            <w:tcW w:w="478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478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STOCK OPTIONS AND EMPLOYEE STOCK PURCHASE PLAN</w:t>
      </w:r>
    </w:p>
    <w:p>
      <w:pPr>
        <w:spacing w:after="0" w:line="17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The Company's stock option plan (the Stock Option Plan) provides for the issuance of nonstatutory stock options and incentive stock options (ISOs) to key employees and nonemployee board members holding less than 5% of the outstanding shares of the Company's common stock. The Company's Non-Officer Stock Option Plan (the Non-Officer Plan and, together with the Stock Option Plan, the Plans), provides for the issuance of nonstatutory stock options to key employees who are not officers or directors of the Company. Options granted under the plans will expire if unexercised after ten years from the date of grant.</w:t>
      </w:r>
    </w:p>
    <w:p>
      <w:pPr>
        <w:spacing w:after="0" w:line="164"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The option price for ISOs and non-employee directors options granted under the Stock Option Plan is set at the fair market value of the Company's common stock on the date of grant. The option price for nonstatutory options granted under the Plans is set by the Compensation Committee of the Board of Directors. The authority to grant options under the Plans and set other terms and conditions rests with the Compensation Committee. The Stock Option Plan terminates in 2006. The Non-Officer Plan does not have a designated termination date.</w:t>
      </w:r>
    </w:p>
    <w:p>
      <w:pPr>
        <w:spacing w:after="0" w:line="164"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During the years ended September 30, 2000, 1999, and 1998, 129,952, 402,022, and 287,882 shares of the Company's common stock, respectively, were issued upon the exercise of options for 129,952, 402,022, and 289,353 shares, respectively. The difference between shares issued and options exercised results from the provision in the Plans allowing employees to elect to pay their withholding obligation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1999</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80" w:type="dxa"/>
            <w:vAlign w:val="bottom"/>
          </w:tcPr>
          <w:p>
            <w:pPr>
              <w:spacing w:after="0"/>
              <w:rPr>
                <w:sz w:val="14"/>
                <w:szCs w:val="14"/>
                <w:color w:val="auto"/>
              </w:rPr>
            </w:pPr>
          </w:p>
        </w:tc>
      </w:tr>
      <w:tr>
        <w:trPr>
          <w:trHeight w:val="166"/>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1"/>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35.0</w:t>
            </w:r>
          </w:p>
        </w:tc>
        <w:tc>
          <w:tcPr>
            <w:tcW w:w="5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5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c>
          <w:tcPr>
            <w:tcW w:w="80" w:type="dxa"/>
            <w:vAlign w:val="bottom"/>
          </w:tcPr>
          <w:p>
            <w:pPr>
              <w:spacing w:after="0"/>
              <w:rPr>
                <w:sz w:val="24"/>
                <w:szCs w:val="24"/>
                <w:color w:val="auto"/>
              </w:rPr>
            </w:pP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(5.0)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80" w:type="dxa"/>
            <w:vAlign w:val="bottom"/>
          </w:tcPr>
          <w:p>
            <w:pPr>
              <w:spacing w:after="0"/>
              <w:rPr>
                <w:sz w:val="14"/>
                <w:szCs w:val="14"/>
                <w:color w:val="auto"/>
              </w:rPr>
            </w:pPr>
          </w:p>
        </w:tc>
      </w:tr>
      <w:tr>
        <w:trPr>
          <w:trHeight w:val="331"/>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w:t>
            </w:r>
          </w:p>
        </w:tc>
        <w:tc>
          <w:tcPr>
            <w:tcW w:w="80" w:type="dxa"/>
            <w:vAlign w:val="bottom"/>
          </w:tcPr>
          <w:p>
            <w:pPr>
              <w:spacing w:after="0"/>
              <w:rPr>
                <w:sz w:val="24"/>
                <w:szCs w:val="24"/>
                <w:color w:val="auto"/>
              </w:rPr>
            </w:pPr>
          </w:p>
        </w:tc>
      </w:tr>
      <w:tr>
        <w:trPr>
          <w:trHeight w:val="331"/>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15.3</w:t>
            </w:r>
          </w:p>
        </w:tc>
        <w:tc>
          <w:tcPr>
            <w:tcW w:w="5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80" w:type="dxa"/>
            <w:vAlign w:val="bottom"/>
          </w:tcPr>
          <w:p>
            <w:pPr>
              <w:spacing w:after="0"/>
              <w:rPr>
                <w:sz w:val="24"/>
                <w:szCs w:val="24"/>
                <w:color w:val="auto"/>
              </w:rPr>
            </w:pPr>
          </w:p>
        </w:tc>
      </w:tr>
      <w:tr>
        <w:trPr>
          <w:trHeight w:val="166"/>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c>
          <w:tcPr>
            <w:tcW w:w="80" w:type="dxa"/>
            <w:vAlign w:val="bottom"/>
          </w:tcPr>
          <w:p>
            <w:pPr>
              <w:spacing w:after="0"/>
              <w:rPr>
                <w:sz w:val="14"/>
                <w:szCs w:val="14"/>
                <w:color w:val="auto"/>
              </w:rPr>
            </w:pPr>
          </w:p>
        </w:tc>
      </w:tr>
      <w:tr>
        <w:trPr>
          <w:trHeight w:val="166"/>
        </w:trPr>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80" w:type="dxa"/>
            <w:vAlign w:val="bottom"/>
          </w:tcPr>
          <w:p>
            <w:pPr>
              <w:spacing w:after="0"/>
              <w:rPr>
                <w:sz w:val="14"/>
                <w:szCs w:val="14"/>
                <w:color w:val="auto"/>
              </w:rPr>
            </w:pPr>
          </w:p>
        </w:tc>
      </w:tr>
    </w:tbl>
    <w:p>
      <w:pPr>
        <w:spacing w:after="0" w:line="4" w:lineRule="exact"/>
        <w:rPr>
          <w:sz w:val="20"/>
          <w:szCs w:val="20"/>
          <w:color w:val="auto"/>
        </w:rPr>
      </w:pPr>
    </w:p>
    <w:p>
      <w:pPr>
        <w:ind w:left="1380" w:hanging="1376"/>
        <w:spacing w:after="0"/>
        <w:tabs>
          <w:tab w:leader="none" w:pos="13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60.0 %</w:t>
      </w:r>
      <w:r>
        <w:rPr>
          <w:sz w:val="20"/>
          <w:szCs w:val="20"/>
          <w:color w:val="auto"/>
        </w:rPr>
        <w:tab/>
      </w:r>
      <w:r>
        <w:rPr>
          <w:rFonts w:ascii="Courier New" w:cs="Courier New" w:eastAsia="Courier New" w:hAnsi="Courier New"/>
          <w:sz w:val="14"/>
          <w:szCs w:val="14"/>
          <w:color w:val="auto"/>
        </w:rPr>
        <w:t>100.8 %</w:t>
      </w:r>
    </w:p>
    <w:p>
      <w:pPr>
        <w:spacing w:after="0" w:line="7" w:lineRule="exact"/>
        <w:rPr>
          <w:sz w:val="20"/>
          <w:szCs w:val="20"/>
          <w:color w:val="auto"/>
        </w:rPr>
      </w:pPr>
    </w:p>
    <w:p>
      <w:pPr>
        <w:ind w:left="1380" w:hanging="1376"/>
        <w:spacing w:after="0"/>
        <w:tabs>
          <w:tab w:leader="none" w:pos="13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900" w:space="340"/>
            <w:col w:w="299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STOCK OPTIONS AND EMPLOYEE STOCK PURCHASE PLAN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through share reduction. No employees elected to pay tax withholding obligations through share reduction during fiscal 2000 or 1999. Withholding taxes paid by the Company as a result of the share withholding provision amounted to $28,871 during the year ended September 30, 1998.</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year ended September 30, 1998 the Board of Directors authorized the issuance of incentive stock options for the purchase of 486,631 shares. In addition, during the year ended September 30, 1998 the Board of Directors authorized the issuance of nonstatutory stock options for the purchase of 543,461 shares, at prices below the market value of the stock on the grant dates.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difference between the option price and market value at the date of grant for the above option arrangements has been recorded as additional paid-in capital with an offsetting debit within stockholders' equity to unearned stock compensation. The compensation expense related to these option grants is amortized to operations over the contractual vesting period in which employees perform services and amounted to $164,909 in 2000, $582,981 in 1999, and $895,401 in 1998.</w:t>
      </w:r>
    </w:p>
    <w:p>
      <w:pPr>
        <w:spacing w:after="0" w:line="16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Stock options and common shares reserved for grant under the Plans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36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Available For</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Options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Price Per</w:t>
            </w:r>
          </w:p>
        </w:tc>
      </w:tr>
      <w:tr>
        <w:trPr>
          <w:trHeight w:val="166"/>
        </w:trPr>
        <w:tc>
          <w:tcPr>
            <w:tcW w:w="3360" w:type="dxa"/>
            <w:vAlign w:val="bottom"/>
          </w:tcPr>
          <w:p>
            <w:pPr>
              <w:spacing w:after="0"/>
              <w:rPr>
                <w:sz w:val="14"/>
                <w:szCs w:val="14"/>
                <w:color w:val="auto"/>
              </w:rPr>
            </w:pP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Grant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336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Balances, September 30, 1997</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1,224,449</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1,916,108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$ 10.01</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Additional shares approved for grant</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750,000</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(1,254,525)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1,254,525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15.96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74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(289,353)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8.56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150,013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12.79</w:t>
            </w:r>
          </w:p>
        </w:tc>
      </w:tr>
      <w:tr>
        <w:trPr>
          <w:trHeight w:val="166"/>
        </w:trPr>
        <w:tc>
          <w:tcPr>
            <w:tcW w:w="336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Balances, September 30, 1998</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869,937</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2,731,267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$ 12.75</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(1,019,100)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1,019,100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74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(402,022)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5.95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1,244,635</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(1,244,635)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14.26</w:t>
            </w:r>
          </w:p>
        </w:tc>
      </w:tr>
      <w:tr>
        <w:trPr>
          <w:trHeight w:val="166"/>
        </w:trPr>
        <w:tc>
          <w:tcPr>
            <w:tcW w:w="336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Balances, September 30, 1999</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1,095,472</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2,103,710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$ 11.50</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Additional shares approved for grant</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500,000</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(1,158,450)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1,158,450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9.42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74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(129,952)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525,995</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(529,498)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10.16</w:t>
            </w:r>
          </w:p>
        </w:tc>
      </w:tr>
      <w:tr>
        <w:trPr>
          <w:trHeight w:val="166"/>
        </w:trPr>
        <w:tc>
          <w:tcPr>
            <w:tcW w:w="336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Balances, September 30, 2000</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963,017</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2,602,710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$ 11.05</w:t>
            </w:r>
          </w:p>
        </w:tc>
      </w:tr>
      <w:tr>
        <w:trPr>
          <w:trHeight w:val="166"/>
        </w:trPr>
        <w:tc>
          <w:tcPr>
            <w:tcW w:w="336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STOCK OPTIONS AND EMPLOYEE STOCK PURCHASE PLAN (CONTINUED)</w:t>
      </w:r>
    </w:p>
    <w:p>
      <w:pPr>
        <w:spacing w:after="0" w:line="17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Commencing April 1996, the Company has sponsored an Employee Stock Purchase Plan (the Purchase Plan) which covers all domestic employees with at least 90 days of service. The Purchase Plan allows eligible participants the right to purchase common stock on a quarterly basis at the lower of 85% of the market price at the beginning or end of each three-month offering period. Employee contributions to the plan were $580,855 in 2000, $586,324 in 1999, and $658,118 in 1998. Pursuant to the Purchase Plan, 75,149, 80,482, and 37,398 shares were issued to employees during the fiscal years ended 2000, 1999 and 1998, respectively. As of September 30, 2000, 228,734 shares are available for future issuances under the Purchase Plan.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STOCK-BASED COMPENSATION</w:t>
      </w:r>
    </w:p>
    <w:p>
      <w:pPr>
        <w:spacing w:after="0" w:line="17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In accordance with Statement of Financial Accounting Standards No. 123, "Accounting for Stock-Based Compensation" (SFAS 123), the Company has chosen to continue to account for stock-based compensation using the intrinsic value method prescribed in Accounting Principles Board Opinion No. 25, "Accounting for Stock Issued to Employees," and related interpretations. Accordingly, compensation costs for stock options granted to employees are measured as the excess, if any, of the fair value of the Company's stock at the date of the grant over the amount an employee must pay to acquire the stock. Such compensation costs, if any, are amortized on a straight-line basis over the option vesting schedule.</w:t>
      </w:r>
    </w:p>
    <w:p>
      <w:pPr>
        <w:spacing w:after="0" w:line="329" w:lineRule="exact"/>
        <w:rPr>
          <w:sz w:val="20"/>
          <w:szCs w:val="20"/>
          <w:color w:val="auto"/>
        </w:rPr>
      </w:pPr>
    </w:p>
    <w:p>
      <w:pPr>
        <w:ind w:right="80"/>
        <w:spacing w:after="0" w:line="251" w:lineRule="auto"/>
        <w:rPr>
          <w:sz w:val="20"/>
          <w:szCs w:val="20"/>
          <w:color w:val="auto"/>
        </w:rPr>
      </w:pPr>
      <w:r>
        <w:rPr>
          <w:rFonts w:ascii="Courier New" w:cs="Courier New" w:eastAsia="Courier New" w:hAnsi="Courier New"/>
          <w:sz w:val="14"/>
          <w:szCs w:val="14"/>
          <w:color w:val="auto"/>
        </w:rPr>
        <w:t>Had the Company used the fair-value-based method of accounting for its stock options granted in 2000, 1999 and 1998, and charged operations over the option vesting periods based on the fair value of options at the date of grant, net (loss) income and net (loss) income per common share would have been changed to the following pro forma amounts: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7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(16,824,680)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(20,981,166)</w:t>
            </w:r>
          </w:p>
        </w:tc>
      </w:tr>
      <w:tr>
        <w:trPr>
          <w:trHeight w:val="497"/>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(loss) income per share - basic:</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(loss) income per share - assuming dilution:</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bl>
    <w:p>
      <w:pPr>
        <w:spacing w:after="0" w:line="335" w:lineRule="exact"/>
        <w:rPr>
          <w:sz w:val="20"/>
          <w:szCs w:val="20"/>
          <w:color w:val="auto"/>
        </w:rPr>
      </w:pPr>
    </w:p>
    <w:p>
      <w:pPr>
        <w:ind w:right="80"/>
        <w:spacing w:after="0" w:line="252" w:lineRule="auto"/>
        <w:rPr>
          <w:sz w:val="20"/>
          <w:szCs w:val="20"/>
          <w:color w:val="auto"/>
        </w:rPr>
      </w:pPr>
      <w:r>
        <w:rPr>
          <w:rFonts w:ascii="Courier New" w:cs="Courier New" w:eastAsia="Courier New" w:hAnsi="Courier New"/>
          <w:sz w:val="14"/>
          <w:szCs w:val="14"/>
          <w:color w:val="auto"/>
        </w:rPr>
        <w:t>The weighted average fair value of options granted in fiscal years 2000, 1999 and 1998 was $11.05 $11.50, and $12.29, respectively. The weighted average fair value was determined based upon the fair</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3,191,733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(71,094)</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281,852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(3,244,655)</w:t>
            </w:r>
          </w:p>
        </w:tc>
      </w:tr>
      <w:tr>
        <w:trPr>
          <w:trHeight w:val="663"/>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33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49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bl>
    <w:p>
      <w:pPr>
        <w:sectPr>
          <w:pgSz w:w="11900" w:h="16838" w:orient="portrait"/>
          <w:cols w:equalWidth="0" w:num="2">
            <w:col w:w="6900" w:space="420"/>
            <w:col w:w="291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STOCK-BASED COMPENSATION (CONTINUED)</w:t>
      </w:r>
    </w:p>
    <w:p>
      <w:pPr>
        <w:spacing w:after="0" w:line="173" w:lineRule="exact"/>
        <w:rPr>
          <w:sz w:val="20"/>
          <w:szCs w:val="20"/>
          <w:color w:val="auto"/>
        </w:rPr>
      </w:pPr>
    </w:p>
    <w:p>
      <w:pPr>
        <w:ind w:right="5420"/>
        <w:spacing w:after="0" w:line="255" w:lineRule="auto"/>
        <w:rPr>
          <w:sz w:val="20"/>
          <w:szCs w:val="20"/>
          <w:color w:val="auto"/>
        </w:rPr>
      </w:pPr>
      <w:r>
        <w:rPr>
          <w:rFonts w:ascii="Courier New" w:cs="Courier New" w:eastAsia="Courier New" w:hAnsi="Courier New"/>
          <w:sz w:val="14"/>
          <w:szCs w:val="14"/>
          <w:color w:val="auto"/>
        </w:rPr>
        <w:t>value of each option on the grant date, utilizing the Black-Scholes option-pricing model and the following assumptions: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Assumptions: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1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Risk free interest rate</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Expected option holding period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 years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 years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 years</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200" w:lineRule="exact"/>
        <w:rPr>
          <w:sz w:val="20"/>
          <w:szCs w:val="20"/>
          <w:color w:val="auto"/>
        </w:rPr>
      </w:pPr>
    </w:p>
    <w:p>
      <w:pPr>
        <w:spacing w:after="0" w:line="301"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At September 30, 2000, the weighted average exercise price and remaining life of the stock options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RANGE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EXERCISE PRICES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1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$5.75-8.00</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$8.875-13.125</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$13.625-20.3438</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$20.50-29.25</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Total options outstanding</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13,135</w:t>
            </w:r>
          </w:p>
        </w:tc>
        <w:tc>
          <w:tcPr>
            <w:tcW w:w="1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1,322,351</w:t>
            </w:r>
          </w:p>
        </w:tc>
        <w:tc>
          <w:tcPr>
            <w:tcW w:w="44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707,050</w:t>
            </w:r>
          </w:p>
        </w:tc>
        <w:tc>
          <w:tcPr>
            <w:tcW w:w="6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263,445</w:t>
            </w:r>
          </w:p>
        </w:tc>
        <w:tc>
          <w:tcPr>
            <w:tcW w:w="38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296,729</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2,602,710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average remaining contractual life</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(years)</w:t>
            </w:r>
          </w:p>
        </w:tc>
        <w:tc>
          <w:tcPr>
            <w:tcW w:w="33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7.09</w:t>
            </w:r>
          </w:p>
        </w:tc>
        <w:tc>
          <w:tcPr>
            <w:tcW w:w="3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8.25</w:t>
            </w:r>
          </w:p>
        </w:tc>
        <w:tc>
          <w:tcPr>
            <w:tcW w:w="4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8.32</w:t>
            </w:r>
          </w:p>
        </w:tc>
        <w:tc>
          <w:tcPr>
            <w:tcW w:w="6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6.18</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7.78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average exercise price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11.61</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11.05</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Options exercisable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8,722</w:t>
            </w:r>
          </w:p>
        </w:tc>
        <w:tc>
          <w:tcPr>
            <w:tcW w:w="3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463,755</w:t>
            </w:r>
          </w:p>
        </w:tc>
        <w:tc>
          <w:tcPr>
            <w:tcW w:w="4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195,122</w:t>
            </w:r>
          </w:p>
        </w:tc>
        <w:tc>
          <w:tcPr>
            <w:tcW w:w="6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166,096</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232,884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1,066,579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average price of</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exercisable options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10.65</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12.82</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SHARE RIGHTS PLAN</w:t>
      </w:r>
    </w:p>
    <w:p>
      <w:pPr>
        <w:spacing w:after="0" w:line="173"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Company has adopted a share rights plan. Under the plan, the Company distributed as a dividend one right for each share of the Company's common stock outstanding on June 30, 1998. Each right entitles its holder to buy one one-hundredth of a share of a new series of junior participating preferred stock at an exercise price of $115, subject to adjustment. The rights are exercisable only if certain ownership considerations are met. The Company will be entitled to redeem the rights prior to the rights becoming exercisable.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COMMITMENTS</w:t>
      </w:r>
    </w:p>
    <w:p>
      <w:pPr>
        <w:spacing w:after="0" w:line="173" w:lineRule="exact"/>
        <w:rPr>
          <w:sz w:val="20"/>
          <w:szCs w:val="20"/>
          <w:color w:val="auto"/>
        </w:rPr>
      </w:pPr>
    </w:p>
    <w:p>
      <w:pPr>
        <w:ind w:right="4380"/>
        <w:spacing w:after="0" w:line="252" w:lineRule="auto"/>
        <w:rPr>
          <w:sz w:val="20"/>
          <w:szCs w:val="20"/>
          <w:color w:val="auto"/>
        </w:rPr>
      </w:pPr>
      <w:r>
        <w:rPr>
          <w:rFonts w:ascii="Courier New" w:cs="Courier New" w:eastAsia="Courier New" w:hAnsi="Courier New"/>
          <w:sz w:val="14"/>
          <w:szCs w:val="14"/>
          <w:color w:val="auto"/>
        </w:rPr>
        <w:t>The Company has entered into various operating lease agreements, the last of which expires in fiscal 2013. Below is a schedule of future minimum commitments under noncancellable operating leases: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6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FISCAL</w:t>
            </w:r>
          </w:p>
        </w:tc>
        <w:tc>
          <w:tcPr>
            <w:tcW w:w="1640" w:type="dxa"/>
            <w:vAlign w:val="bottom"/>
          </w:tcPr>
          <w:p>
            <w:pPr>
              <w:spacing w:after="0"/>
              <w:rPr>
                <w:sz w:val="14"/>
                <w:szCs w:val="14"/>
                <w:color w:val="auto"/>
              </w:rPr>
            </w:pPr>
          </w:p>
        </w:tc>
      </w:tr>
      <w:tr>
        <w:trPr>
          <w:trHeight w:val="166"/>
        </w:trPr>
        <w:tc>
          <w:tcPr>
            <w:tcW w:w="16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YEAR</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2001</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$1,072,294</w:t>
            </w:r>
          </w:p>
        </w:tc>
      </w:tr>
      <w:tr>
        <w:trPr>
          <w:trHeight w:val="166"/>
        </w:trPr>
        <w:tc>
          <w:tcPr>
            <w:tcW w:w="16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2002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620,713</w:t>
            </w:r>
          </w:p>
        </w:tc>
      </w:tr>
      <w:tr>
        <w:trPr>
          <w:trHeight w:val="166"/>
        </w:trPr>
        <w:tc>
          <w:tcPr>
            <w:tcW w:w="16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2003</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156,834</w:t>
            </w:r>
          </w:p>
        </w:tc>
      </w:tr>
      <w:tr>
        <w:trPr>
          <w:trHeight w:val="166"/>
        </w:trPr>
        <w:tc>
          <w:tcPr>
            <w:tcW w:w="16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2004</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70,433</w:t>
            </w:r>
          </w:p>
        </w:tc>
      </w:tr>
      <w:tr>
        <w:trPr>
          <w:trHeight w:val="166"/>
        </w:trPr>
        <w:tc>
          <w:tcPr>
            <w:tcW w:w="16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2005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59,760</w:t>
            </w:r>
          </w:p>
        </w:tc>
      </w:tr>
      <w:tr>
        <w:trPr>
          <w:trHeight w:val="166"/>
        </w:trPr>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9"/>
              </w:rPr>
              <w:t>Thereafter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488,038</w:t>
            </w:r>
          </w:p>
        </w:tc>
      </w:tr>
      <w:tr>
        <w:trPr>
          <w:trHeight w:val="166"/>
        </w:trPr>
        <w:tc>
          <w:tcPr>
            <w:tcW w:w="16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$2,468,072</w:t>
            </w:r>
          </w:p>
        </w:tc>
      </w:tr>
      <w:tr>
        <w:trPr>
          <w:trHeight w:val="166"/>
        </w:trPr>
        <w:tc>
          <w:tcPr>
            <w:tcW w:w="16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640" w:type="dxa"/>
            <w:vAlign w:val="bottom"/>
          </w:tcPr>
          <w:p>
            <w:pPr>
              <w:spacing w:after="0"/>
              <w:rPr>
                <w:sz w:val="24"/>
                <w:szCs w:val="24"/>
                <w:color w:val="auto"/>
              </w:rPr>
            </w:pPr>
          </w:p>
        </w:tc>
        <w:tc>
          <w:tcPr>
            <w:tcW w:w="1640" w:type="dxa"/>
            <w:vAlign w:val="bottom"/>
          </w:tcPr>
          <w:p>
            <w:pPr>
              <w:ind w:left="1020"/>
              <w:spacing w:after="0"/>
              <w:rPr>
                <w:sz w:val="20"/>
                <w:szCs w:val="20"/>
                <w:color w:val="auto"/>
              </w:rPr>
            </w:pPr>
            <w:r>
              <w:rPr>
                <w:rFonts w:ascii="Courier New" w:cs="Courier New" w:eastAsia="Courier New" w:hAnsi="Courier New"/>
                <w:sz w:val="14"/>
                <w:szCs w:val="14"/>
                <w:color w:val="auto"/>
              </w:rPr>
              <w:t>46</w:t>
            </w:r>
          </w:p>
        </w:tc>
      </w:tr>
    </w:tbl>
    <w:p>
      <w:pPr>
        <w:sectPr>
          <w:pgSz w:w="11900" w:h="16838" w:orient="portrait"/>
          <w:cols w:equalWidth="0" w:num="1">
            <w:col w:w="11200"/>
          </w:cols>
          <w:pgMar w:left="220" w:top="285" w:right="479"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COMMITMENTS (CONTINUED)</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Total rental expense for all operating leases for the years ended September 30, 2000, 1999 and 1998 was $1,966,579, $1,838,242, and $1,786,715, respectively.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EMPLOYEE BENEFIT PLAN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a savings and profit sharing plan pursuant to Section 401(k) of the Internal Revenue Code ("the Code"), whereby eligible employees may contribute up to 15% of their pre-tax earnings, not to exceed amounts allowed under the Code. In addition, the Company may make contributions to the plan at the discretion of the Board of Directors.</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provided matching contributions of $508,000, $325,000, and $240,000 for the fiscal years ending September 30, 2000, 1999, and 1998, respectively.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CONTINGENCIES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fiscal 1997, the Company and certain of its previous officers were named as defendants in a series of putative securities class action lawsuits in the United States District Court for the District of Minnesota on behalf of an alleged class of purchasers of its common stock during the period January 25, 1996 through December 23, 1996, inclusive, which were consolidated, through a Consolidated Amended Complaint filed in May 1997. Also in 1997, a similar but separate action was filed by the Louisiana State Employees Retirement System. The Consolidated Amended Complaint and the Louisiana Amended Complaint allege the Company and certain of its previous officers violated federal securities laws by, among other things, misrepresenting and/or omitting material information concerning the Company's operations and financial results. The Louisiana Amended Complaint also alleges misrepresentations in violation of state common law.</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 decision issued on May 22, 1998, the District Court granted in part and denied in part the motions of the Company and its three former officers to dismiss the Consolidated Amended Complaint and the Louisiana Amended Complaint. The Court dismissed without leave to replead all claims asserted in both cases, except for certain federal securities law claims based upon alleged misrepresentations and/or omissions relating to the accounting treatment applied to the Company's AetherWorks investment. The Court also limited the claims asserted in the Louisiana Amended Complaint to the 11,000 shares of the Company's stock held subsequent to November 14, 1996.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August 17, 2000, the Court granted defendants' motions for summary judgement and dismissed with prejudice the Consolidated Amended Complaint and the Louisiana Amended Complaint. Although the 21 lead plaintiffs in the consolidated putative class actions had previously moved for class certification, the Court dismissed the actions before ruling on that motion.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September 1, 2000, the Louisiana State Employees Retirement System filed an appeal from the Court's August 17, 2000 decision. On September 14, 2000, the 21 lead plaintiffs in the consolidated putative class actions filed an appeal from both the Court's May 22, 1998 and August 17, 2000 decisions. The two appeals have been consolidated for briefing and argument, with briefing scheduled to be completed in January 2001, and oral argument to be held thereafter.</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CONTINGENCIES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ultimate outcomes of these actions cannot be determined at this time, and no potential assessment of the probable or possible effects of such litigation if any, on the Company's financial position, liquidity or future operations can be made.</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the normal course of business, the Company is subject to various claims and litigation. Management of the Company expects that these various litigation items will not have a material adverse effect on the results of operations or financial condition of the Company.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SUBSEQUENT EVENT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2, 2000, the Company acquired Inside Out Networks (ION), a leading developer of data connections products based in Austin, Texas. The transaction is being accounted for using the purchase method of accounting. Accordingly, the purchase price will be allocated to the estimated fair value of assets acquired and liabilities assumed.</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Components of the purchase consideration consist of $6,410,000 in cash, a purchase price adjustment based on the values of liabilities and net worth contained on the closing balance sheet of ION as of September 30, 2000, and contingent consideration of up to $8,500,000 over the subsequent three year period, subject to ION achieving specific revenue and operating income targets during this period. in exchange for all of the outstanding common and preferred stock of ION, including all shares underlying outstanding options and warrants.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FOURTH QUARTER FISCAL 1998 INFORMATION (UNAUDITED)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third quarter of fiscal year 1998, management of the Company established $3,000,000 of inventory valuation reserves including $1,000,000 which related to an estimated overstatement of inventories resulting from certain system difficulties encountered in connection with the implementation of a new enterprise-wide computer system during the third quarter, and $2,000,000 which related to estimated adjustments to the value of certain remote access server products which the Company believed were approaching technological obsolescence, primarily due to the expected introduction of the Company's new remote access server products in the fourth quarter of fiscal year 1998.</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fourth quarter of 1998 the Company was advised by a third-party vendor that it would delay delivery of a new modem which was integral to the Company's planned introduction of its new remote access server products. When the Company became aware of this delay, management reassessed the estimated timing and effect of technological obsolescence on the value of its old remote access product inventories, which resulted in a $900,000 reduction in management's estimate of the required obsolescence provision in the fourth quarter.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in connection with its normal year-end closing procedures, the Company conducted a physical inventory count of its inventories as of September 30, 1998. This physical inventory count indicated that any previous inventory record discrepancies that had resulted from the system implementation were no longer impacting the Company's reported inventory balances as of September 30, 1998. Accordingly, the Company determined, during the fourth quarter of 1998, that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FOURTH QUARTER FISCAL 1998 INFORMATION (UNAUDITED) (CONTINUED)</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system difficulties encountered in the third quarter had been corrected and, therefore eliminated the related $1,000,000 provision during the fourth quarter.</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50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DIGI INTERNATIONAL INC.</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management is responsible for the integrity, objectivity and consistency of the financial information presented in this Annual Report on Form 10-K and the Company's 2000 Annual Report to Shareholders. The consolidated financial statements contained herein were prepared in accordance with generally accepted accounting principles and were based on informed judgments and management's best estimates as required. Financial information elsewhere in this annual report is consistent with that contained in the consolidated financial statements.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maintains a system of internal controls designed to provide reasonable assurance that assets are safeguarded, transactions are properly executed in accordance with management's authorization, and accounting records may be relied upon for the preparation of financial statements and other financial information. The system is monitored by direct management review. Limitations exist in any system of internal control, based upon the recognition that the cost of the system should not exceed the benefits derived.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consolidated financial statements have been audited by PricewaterhouseCoopers LLP, independent certified public accountants. Their audit was conducted in accordance with auditing standards generally accepted in the United States of America. As part of their audits of the Company's consolidated financial statements, these independent accountants considered the Company's internal controls to the extent they deemed necessary to determine the nature, timing and extent of their audit tests.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Audit Committee of the Board of Directors is composed entirely of non-employee directors and is responsible for monitoring and overseeing the quality of the Company's accounting and reporting policies, internal controls and other matters deemed appropriate. The independent certified public accountants have free access to the Audit Committee without management present.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T. Dunsmore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T. Dunsmore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Subramanian Krishnan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Subramanian Krishnan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 and Treasurer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2000</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 OF DIGI INTERNATIONAL INC.</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14(a)(1) on page 55 present fairly, in all material respects, the financial position of Digi International Inc. and its subsidiaries (the Company) at September 30, 2000 and 1999, and the results of their operations and their cash flows for each of the three years in the period ended September 30, 2000 in conformity with accounting principles generally accepted in the United States of America. In addition, in our opinion, the financial statement schedule listed in the index appearing under Item 14(a)(2) on page 55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2000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52</w:t>
            </w:r>
          </w:p>
        </w:tc>
        <w:tc>
          <w:tcPr>
            <w:tcW w:w="1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QUARTERLY FINANCIAL</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DATA (UNAUDITED)</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28"/>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per share amounts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Quarter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04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Dec. 31</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Mar. 31</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June 30</w:t>
            </w:r>
          </w:p>
        </w:tc>
        <w:tc>
          <w:tcPr>
            <w:tcW w:w="4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Sept. 30</w:t>
            </w:r>
          </w:p>
        </w:tc>
        <w:tc>
          <w:tcPr>
            <w:tcW w:w="26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2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40,140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25,800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32,354</w:t>
            </w:r>
          </w:p>
        </w:tc>
        <w:tc>
          <w:tcPr>
            <w:tcW w:w="400" w:type="dxa"/>
            <w:vAlign w:val="bottom"/>
          </w:tcPr>
          <w:p>
            <w:pPr>
              <w:spacing w:after="0"/>
              <w:rPr>
                <w:sz w:val="14"/>
                <w:szCs w:val="1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34,231</w:t>
            </w:r>
          </w:p>
        </w:tc>
        <w:tc>
          <w:tcPr>
            <w:tcW w:w="26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Gross margin</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22,175</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12,273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17,175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18,030</w:t>
            </w:r>
          </w:p>
        </w:tc>
        <w:tc>
          <w:tcPr>
            <w:tcW w:w="26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Impairment loss</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18,068</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8,078</w:t>
            </w:r>
          </w:p>
        </w:tc>
        <w:tc>
          <w:tcPr>
            <w:tcW w:w="26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Restructuring</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1,532</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w:t>
            </w:r>
          </w:p>
        </w:tc>
        <w:tc>
          <w:tcPr>
            <w:tcW w:w="3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(13,282)</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(7,074)</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per share - basic</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3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(0.88)</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(0.47)</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per share - assuming dilution</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3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(0.88)</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(0.47)</w:t>
            </w:r>
          </w:p>
        </w:tc>
        <w:tc>
          <w:tcPr>
            <w:tcW w:w="260" w:type="dxa"/>
            <w:vAlign w:val="bottom"/>
          </w:tcPr>
          <w:p>
            <w:pPr>
              <w:spacing w:after="0"/>
              <w:rPr>
                <w:sz w:val="14"/>
                <w:szCs w:val="14"/>
                <w:color w:val="auto"/>
              </w:rPr>
            </w:pP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2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51,395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42,631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51,145</w:t>
            </w:r>
          </w:p>
        </w:tc>
        <w:tc>
          <w:tcPr>
            <w:tcW w:w="400" w:type="dxa"/>
            <w:vAlign w:val="bottom"/>
          </w:tcPr>
          <w:p>
            <w:pPr>
              <w:spacing w:after="0"/>
              <w:rPr>
                <w:sz w:val="14"/>
                <w:szCs w:val="1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48,335</w:t>
            </w:r>
          </w:p>
        </w:tc>
        <w:tc>
          <w:tcPr>
            <w:tcW w:w="26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Gross margin</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26,491</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18,478</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26,076</w:t>
            </w:r>
          </w:p>
        </w:tc>
        <w:tc>
          <w:tcPr>
            <w:tcW w:w="26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Restructuring</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1,453</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(685)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3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(2,251)</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2,715</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per share - basic</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3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(0.15)</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0.18</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per share - assuming dilution</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3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(0.15)</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0.18</w:t>
            </w:r>
          </w:p>
        </w:tc>
        <w:tc>
          <w:tcPr>
            <w:tcW w:w="260" w:type="dxa"/>
            <w:vAlign w:val="bottom"/>
          </w:tcPr>
          <w:p>
            <w:pPr>
              <w:spacing w:after="0"/>
              <w:rPr>
                <w:sz w:val="14"/>
                <w:szCs w:val="14"/>
                <w:color w:val="auto"/>
              </w:rPr>
            </w:pP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2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42,590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45,059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46,449</w:t>
            </w:r>
          </w:p>
        </w:tc>
        <w:tc>
          <w:tcPr>
            <w:tcW w:w="400" w:type="dxa"/>
            <w:vAlign w:val="bottom"/>
          </w:tcPr>
          <w:p>
            <w:pPr>
              <w:spacing w:after="0"/>
              <w:rPr>
                <w:sz w:val="14"/>
                <w:szCs w:val="1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48,833</w:t>
            </w:r>
          </w:p>
        </w:tc>
        <w:tc>
          <w:tcPr>
            <w:tcW w:w="26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Gross margin</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21,369</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23,066</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24,559</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25,399</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w:t>
            </w:r>
          </w:p>
        </w:tc>
      </w:tr>
      <w:tr>
        <w:trPr>
          <w:trHeight w:val="166"/>
        </w:trPr>
        <w:tc>
          <w:tcPr>
            <w:tcW w:w="4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Acquired in-process research and development</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16,065</w:t>
            </w:r>
          </w:p>
        </w:tc>
        <w:tc>
          <w:tcPr>
            <w:tcW w:w="26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Restructuring</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w:t>
            </w:r>
          </w:p>
        </w:tc>
        <w:tc>
          <w:tcPr>
            <w:tcW w:w="260" w:type="dxa"/>
            <w:vAlign w:val="bottom"/>
          </w:tcPr>
          <w:p>
            <w:pPr>
              <w:spacing w:after="0"/>
              <w:rPr>
                <w:sz w:val="14"/>
                <w:szCs w:val="14"/>
                <w:color w:val="auto"/>
              </w:rPr>
            </w:pPr>
          </w:p>
        </w:tc>
      </w:tr>
      <w:tr>
        <w:trPr>
          <w:trHeight w:val="166"/>
        </w:trPr>
        <w:tc>
          <w:tcPr>
            <w:tcW w:w="4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AetherWorks Corporation gain</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3,842</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4,665</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6,411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(14,989)</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per share - basic</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0.28</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0.35</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26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per share - assuming dilution</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0.27</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2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summation of quarterly net income per share may not equate to the year-end calculation as quarterly calculations are performed on a discrete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see Note 18 to the Company's consolidated financial statements.</w:t>
      </w:r>
    </w:p>
    <w:p>
      <w:pPr>
        <w:spacing w:after="0" w:line="3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EXECUTIVE OFFICERS OF THE REGISTRANT</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As of the date of filing this Form 10-K, the following individuals were executive officers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020" w:type="dxa"/>
            <w:vAlign w:val="bottom"/>
          </w:tcPr>
          <w:p>
            <w:pPr>
              <w:ind w:left="1040"/>
              <w:spacing w:after="0"/>
              <w:rPr>
                <w:sz w:val="20"/>
                <w:szCs w:val="20"/>
                <w:color w:val="auto"/>
              </w:rPr>
            </w:pPr>
            <w:r>
              <w:rPr>
                <w:rFonts w:ascii="Courier New" w:cs="Courier New" w:eastAsia="Courier New" w:hAnsi="Courier New"/>
                <w:sz w:val="14"/>
                <w:szCs w:val="14"/>
                <w:color w:val="auto"/>
              </w:rPr>
              <w:t>Age</w:t>
            </w: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ind w:left="1220"/>
              <w:spacing w:after="0"/>
              <w:rPr>
                <w:sz w:val="20"/>
                <w:szCs w:val="20"/>
                <w:color w:val="auto"/>
              </w:rPr>
            </w:pPr>
            <w:r>
              <w:rPr>
                <w:rFonts w:ascii="Courier New" w:cs="Courier New" w:eastAsia="Courier New" w:hAnsi="Courier New"/>
                <w:sz w:val="14"/>
                <w:szCs w:val="14"/>
                <w:color w:val="auto"/>
              </w:rPr>
              <w:t>---</w:t>
            </w:r>
          </w:p>
        </w:tc>
        <w:tc>
          <w:tcPr>
            <w:tcW w:w="454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Joseph T. Dunsmore</w:t>
            </w:r>
          </w:p>
        </w:tc>
        <w:tc>
          <w:tcPr>
            <w:tcW w:w="2020" w:type="dxa"/>
            <w:vAlign w:val="bottom"/>
          </w:tcPr>
          <w:p>
            <w:pPr>
              <w:ind w:left="1040"/>
              <w:spacing w:after="0"/>
              <w:rPr>
                <w:sz w:val="20"/>
                <w:szCs w:val="20"/>
                <w:color w:val="auto"/>
              </w:rPr>
            </w:pPr>
            <w:r>
              <w:rPr>
                <w:rFonts w:ascii="Courier New" w:cs="Courier New" w:eastAsia="Courier New" w:hAnsi="Courier New"/>
                <w:sz w:val="14"/>
                <w:szCs w:val="14"/>
                <w:color w:val="auto"/>
              </w:rPr>
              <w:t>42</w:t>
            </w: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Chairman, President and</w:t>
            </w:r>
          </w:p>
        </w:tc>
      </w:tr>
      <w:tr>
        <w:trPr>
          <w:trHeight w:val="166"/>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Chief Executive Officer</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Douglas J. Glader</w:t>
            </w:r>
          </w:p>
        </w:tc>
        <w:tc>
          <w:tcPr>
            <w:tcW w:w="2020" w:type="dxa"/>
            <w:vAlign w:val="bottom"/>
          </w:tcPr>
          <w:p>
            <w:pPr>
              <w:ind w:left="1040"/>
              <w:spacing w:after="0"/>
              <w:rPr>
                <w:sz w:val="20"/>
                <w:szCs w:val="20"/>
                <w:color w:val="auto"/>
              </w:rPr>
            </w:pPr>
            <w:r>
              <w:rPr>
                <w:rFonts w:ascii="Courier New" w:cs="Courier New" w:eastAsia="Courier New" w:hAnsi="Courier New"/>
                <w:sz w:val="14"/>
                <w:szCs w:val="14"/>
                <w:color w:val="auto"/>
              </w:rPr>
              <w:t>57</w:t>
            </w: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Executive Vice President and</w:t>
            </w:r>
          </w:p>
        </w:tc>
      </w:tr>
      <w:tr>
        <w:trPr>
          <w:trHeight w:val="166"/>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General Manager of MiLAN Technology</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Subramanian Krishnan</w:t>
            </w:r>
          </w:p>
        </w:tc>
        <w:tc>
          <w:tcPr>
            <w:tcW w:w="2020" w:type="dxa"/>
            <w:vAlign w:val="bottom"/>
          </w:tcPr>
          <w:p>
            <w:pPr>
              <w:ind w:left="1040"/>
              <w:spacing w:after="0"/>
              <w:rPr>
                <w:sz w:val="20"/>
                <w:szCs w:val="20"/>
                <w:color w:val="auto"/>
              </w:rPr>
            </w:pPr>
            <w:r>
              <w:rPr>
                <w:rFonts w:ascii="Courier New" w:cs="Courier New" w:eastAsia="Courier New" w:hAnsi="Courier New"/>
                <w:sz w:val="14"/>
                <w:szCs w:val="14"/>
                <w:color w:val="auto"/>
              </w:rPr>
              <w:t>46</w:t>
            </w: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Senior Vice President, Chief Financial Officer</w:t>
            </w:r>
          </w:p>
        </w:tc>
      </w:tr>
      <w:tr>
        <w:trPr>
          <w:trHeight w:val="166"/>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and Treasurer</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Bruce Berger</w:t>
            </w:r>
          </w:p>
        </w:tc>
        <w:tc>
          <w:tcPr>
            <w:tcW w:w="2020" w:type="dxa"/>
            <w:vAlign w:val="bottom"/>
          </w:tcPr>
          <w:p>
            <w:pPr>
              <w:ind w:left="1040"/>
              <w:spacing w:after="0"/>
              <w:rPr>
                <w:sz w:val="20"/>
                <w:szCs w:val="20"/>
                <w:color w:val="auto"/>
              </w:rPr>
            </w:pPr>
            <w:r>
              <w:rPr>
                <w:rFonts w:ascii="Courier New" w:cs="Courier New" w:eastAsia="Courier New" w:hAnsi="Courier New"/>
                <w:sz w:val="14"/>
                <w:szCs w:val="14"/>
                <w:color w:val="auto"/>
              </w:rPr>
              <w:t>40</w:t>
            </w: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Vice President and</w:t>
            </w:r>
          </w:p>
        </w:tc>
      </w:tr>
      <w:tr>
        <w:trPr>
          <w:trHeight w:val="166"/>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540" w:type="dxa"/>
            <w:vAlign w:val="bottom"/>
          </w:tcPr>
          <w:p>
            <w:pPr>
              <w:ind w:left="560"/>
              <w:spacing w:after="0"/>
              <w:rPr>
                <w:sz w:val="20"/>
                <w:szCs w:val="20"/>
                <w:color w:val="auto"/>
              </w:rPr>
            </w:pPr>
            <w:r>
              <w:rPr>
                <w:rFonts w:ascii="Courier New" w:cs="Courier New" w:eastAsia="Courier New" w:hAnsi="Courier New"/>
                <w:sz w:val="14"/>
                <w:szCs w:val="14"/>
                <w:color w:val="auto"/>
              </w:rPr>
              <w:t>Managing Director of European Operations</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Mr. Dunsmore joined the Company on October 24, 1999, as President and Chief Executive Officer and as a member of the Board of Directors. Prior to joining Digi, Mr. Dunsmore had been Vice President of Access for Lucent Microelectronics, a telecommunications company, since July 1999. From October 1998 to June 1999, he acted as an independent consultant to various high technology companies. From February 1998 to October 1998, Mr. Dunsmore was Chief Executive Officer of NetFax, Inc., a telecommunications company. From October 1995 to February 1998, he held executive management positions at US Robotics and then at 3COM after 3COM acquired US Robotics in June 1997. Prior to that, Mr. Dunsmore held various marketing management positions at AT&amp;T Paradyne Corporation since May 1983.</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Mr. Glader was named Executive Vice President and General Manager of MiLAN Technology on May 8, 2000, Executive Vice President and Chief Operating Officer on April 19, 1999, Senior Vice President, Manufacturing Operations on April 23, 1997 and Vice President of Operations in February 1995. Before that, he was Director of Manufacturing and Operations for MiLAN Technology Corporation, which the Company acquired in November 1993. He began his career with Memorex Corporation and also worked for Measurex Corporation, Altus Corporation and Direct Incorporated. He founded and was Vice President of Operations for Greyhawk Systems, Inc., a manufacturer of electronic imaging hardware and software.</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Mr. Krishnan was named Senior Vice President, Chief Financial Officer and Treasurer on February 1, 1999, prior to which he served as the Company's Controller since January 11, 1999. Prior to joining the Company, he served as a principal with LAWCO Financial, an investment banking firm in Minneapolis, MN from January 1997 to January 1999. Prior to LAWCO, he served for 13 years with the Valspar Corporation as the Director of Corporate Financial Planning and Reporting and Taxes and was primarily responsible for mergers, acquisitions and joint ventures.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Mr. Berger was named Vice President and Managing Director of European Operations in May 2000. Prior to joining the Company he served as Vice President and General Manager, Business Development at TeCom Incorporated where he was responsible for development of TeCom's original business plan,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53" w:name="page54"/>
    <w:bookmarkEnd w:id="53"/>
    <w:p>
      <w:pPr>
        <w:jc w:val="center"/>
        <w:ind w:right="9539"/>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EXECUTIVE OFFICERS OF THE REGISTRANT (CONTINUED)</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development and implementation of the strategic plan and management of aspects of the business. Prior to TeCom his tenure included 11 years with AT&amp;T Paradyne Corporation in a variety of product management positions, international sales and marketing and business development experience. At AT&amp;T Paradyne, Mr. Berger was responsible for international sales channel development in Europe, Canada, Latin America, the Far East and Australia.</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ind w:left="780" w:right="4799" w:hanging="774"/>
        <w:spacing w:after="0" w:line="255" w:lineRule="auto"/>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60" w:lineRule="exact"/>
        <w:rPr>
          <w:sz w:val="20"/>
          <w:szCs w:val="20"/>
          <w:color w:val="auto"/>
        </w:rPr>
      </w:pPr>
    </w:p>
    <w:p>
      <w:pPr>
        <w:ind w:left="1300" w:hanging="516"/>
        <w:spacing w:after="0"/>
        <w:tabs>
          <w:tab w:leader="none" w:pos="13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 and Schedules of the Company</w:t>
      </w:r>
    </w:p>
    <w:p>
      <w:pPr>
        <w:spacing w:after="0" w:line="338" w:lineRule="exact"/>
        <w:rPr>
          <w:rFonts w:ascii="Courier New" w:cs="Courier New" w:eastAsia="Courier New" w:hAnsi="Courier New"/>
          <w:sz w:val="14"/>
          <w:szCs w:val="14"/>
          <w:color w:val="auto"/>
        </w:rPr>
      </w:pPr>
    </w:p>
    <w:p>
      <w:pPr>
        <w:ind w:left="1740" w:right="3519" w:hanging="440"/>
        <w:spacing w:after="0" w:line="255" w:lineRule="auto"/>
        <w:tabs>
          <w:tab w:leader="none" w:pos="174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Operations for the fiscal years ended September 30, 2000, 1999 and 1998</w:t>
      </w:r>
    </w:p>
    <w:p>
      <w:pPr>
        <w:spacing w:after="0" w:line="159" w:lineRule="exact"/>
        <w:rPr>
          <w:rFonts w:ascii="Courier New" w:cs="Courier New" w:eastAsia="Courier New" w:hAnsi="Courier New"/>
          <w:sz w:val="14"/>
          <w:szCs w:val="14"/>
          <w:color w:val="auto"/>
        </w:rPr>
      </w:pPr>
    </w:p>
    <w:p>
      <w:pPr>
        <w:ind w:left="174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 as of September 30, 2000 and 1999</w:t>
      </w:r>
    </w:p>
    <w:p>
      <w:pPr>
        <w:spacing w:after="0" w:line="159" w:lineRule="exact"/>
        <w:rPr>
          <w:rFonts w:ascii="Courier New" w:cs="Courier New" w:eastAsia="Courier New" w:hAnsi="Courier New"/>
          <w:sz w:val="14"/>
          <w:szCs w:val="14"/>
          <w:color w:val="auto"/>
        </w:rPr>
      </w:pPr>
    </w:p>
    <w:p>
      <w:pPr>
        <w:ind w:left="17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Cash Flows for the fiscal years ended September 30, 2000, 1999 and 1998</w:t>
      </w:r>
    </w:p>
    <w:p>
      <w:pPr>
        <w:spacing w:after="0" w:line="159" w:lineRule="exact"/>
        <w:rPr>
          <w:rFonts w:ascii="Courier New" w:cs="Courier New" w:eastAsia="Courier New" w:hAnsi="Courier New"/>
          <w:sz w:val="14"/>
          <w:szCs w:val="14"/>
          <w:color w:val="auto"/>
        </w:rPr>
      </w:pPr>
    </w:p>
    <w:p>
      <w:pPr>
        <w:ind w:left="1740"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Stockholders' Equity for the fiscal years ended September 30, 2000, 1999 and 1998</w:t>
      </w:r>
    </w:p>
    <w:p>
      <w:pPr>
        <w:spacing w:after="0" w:line="159" w:lineRule="exact"/>
        <w:rPr>
          <w:rFonts w:ascii="Courier New" w:cs="Courier New" w:eastAsia="Courier New" w:hAnsi="Courier New"/>
          <w:sz w:val="14"/>
          <w:szCs w:val="14"/>
          <w:color w:val="auto"/>
        </w:rPr>
      </w:pPr>
    </w:p>
    <w:p>
      <w:pPr>
        <w:ind w:left="1740" w:right="489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 Report of Independent Accountants</w:t>
      </w:r>
    </w:p>
    <w:p>
      <w:pPr>
        <w:ind w:left="1740" w:hanging="440"/>
        <w:spacing w:after="0"/>
        <w:tabs>
          <w:tab w:leader="none" w:pos="174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of Valuation and Qualifying Accounts.</w:t>
      </w:r>
    </w:p>
    <w:p>
      <w:pPr>
        <w:spacing w:after="0" w:line="338"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1300"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 were no reports on Form 8-K during the quarter ended September 30,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w:t>
      </w:r>
    </w:p>
    <w:p>
      <w:pPr>
        <w:spacing w:after="0" w:line="7"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FORM 8-K</w:t>
        <w:tab/>
        <w:t>(CONTINUED)</w:t>
      </w:r>
    </w:p>
    <w:p>
      <w:pPr>
        <w:spacing w:after="0" w:line="173" w:lineRule="exact"/>
        <w:rPr>
          <w:sz w:val="20"/>
          <w:szCs w:val="20"/>
          <w:color w:val="auto"/>
        </w:rPr>
      </w:pPr>
    </w:p>
    <w:p>
      <w:pPr>
        <w:ind w:left="1480" w:hanging="696"/>
        <w:spacing w:after="0"/>
        <w:tabs>
          <w:tab w:leader="none" w:pos="14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784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Restated Certificate of Incorporation of the Company (1)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3(b)</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Amended and Restated By-Laws of the Company (2)</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4(a)</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Form of Rights Agreement, dated as of June 10, 1998 between Digi International Inc.</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and Wells Fargo Bank Minnesota, National Association (formerly known as Norwest Bank</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Minnesota, National Association), as Rights Agent(3)</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Amendment dated January 26, 1999, to Share Rights Agreement, dated as of June 10, 1998</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between Digi International Inc. and Wells Fargo Bank Minnesota, National Association</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(formerly known as Norwest Bank Minnesota, National Association), as Rights Agent (4)</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10(a)</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Stock Option Plan of the Company (5)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10(b)</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Form of indemnification agreement with directors and</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officers of the Company (6)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10(c)</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Amended and Restated Employment Agreement between the Company and John P. Schinas (7)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10(d)</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Employment Arrangement between the Company and Douglas Glader *(8)</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10(d)(i)</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Amendment to Employment Agreement between the Company and Douglas Glader, dated as of</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December 13, 2000*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10(e)</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Agreement between the Company and Subramanian Krishnan dated March 26, 1999*(9)</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10(e)(i)</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Amendment to Agreement between the Company and Subramanian Krishnan dated November 20,</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2000*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10(f)</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Employment Agreement between the Company and Joseph T. Dunsmore dated October 24,</w:t>
            </w:r>
          </w:p>
        </w:tc>
      </w:tr>
      <w:tr>
        <w:trPr>
          <w:trHeight w:val="166"/>
        </w:trPr>
        <w:tc>
          <w:tcPr>
            <w:tcW w:w="11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1999*(10)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10(g)</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Agreement between the Company and Bruce Berger dated March 29, 2000*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10(h)</w:t>
            </w:r>
          </w:p>
        </w:tc>
        <w:tc>
          <w:tcPr>
            <w:tcW w:w="7840" w:type="dxa"/>
            <w:vAlign w:val="bottom"/>
          </w:tcPr>
          <w:p>
            <w:pPr>
              <w:ind w:left="440"/>
              <w:spacing w:after="0"/>
              <w:rPr>
                <w:sz w:val="20"/>
                <w:szCs w:val="20"/>
                <w:color w:val="auto"/>
              </w:rPr>
            </w:pPr>
            <w:r>
              <w:rPr>
                <w:rFonts w:ascii="Courier New" w:cs="Courier New" w:eastAsia="Courier New" w:hAnsi="Courier New"/>
                <w:sz w:val="14"/>
                <w:szCs w:val="14"/>
                <w:color w:val="auto"/>
              </w:rPr>
              <w:t>Employee Stock Purchase Plan of the Company (11)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*Management contract or compensatory plan or arrangement required to be filed as an exhibit to this Form 10-K.</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57</w:t>
      </w:r>
    </w:p>
    <w:p>
      <w:pPr>
        <w:spacing w:after="0" w:line="338" w:lineRule="exact"/>
        <w:rPr>
          <w:sz w:val="20"/>
          <w:szCs w:val="20"/>
          <w:color w:val="auto"/>
        </w:rPr>
      </w:pPr>
    </w:p>
    <w:p>
      <w:pPr>
        <w:ind w:left="520" w:right="4799" w:hanging="774"/>
        <w:spacing w:after="0" w:line="255" w:lineRule="auto"/>
        <w:rPr>
          <w:sz w:val="20"/>
          <w:szCs w:val="20"/>
          <w:color w:val="auto"/>
        </w:rPr>
      </w:pPr>
      <w:r>
        <w:rPr>
          <w:rFonts w:ascii="Courier New" w:cs="Courier New" w:eastAsia="Courier New" w:hAnsi="Courier New"/>
          <w:sz w:val="14"/>
          <w:szCs w:val="14"/>
          <w:color w:val="auto"/>
        </w:rPr>
        <w:t>ITEM 14. EXHIBITS, FINANCIAL STATEMENT SCHEDULES AND REPORTS ON FORM 8-K (CONTINUED)</w:t>
      </w:r>
    </w:p>
    <w:p>
      <w:pPr>
        <w:spacing w:after="0" w:line="160" w:lineRule="exact"/>
        <w:rPr>
          <w:sz w:val="20"/>
          <w:szCs w:val="20"/>
          <w:color w:val="auto"/>
        </w:rPr>
      </w:pPr>
    </w:p>
    <w:p>
      <w:pPr>
        <w:ind w:left="1300" w:hanging="776"/>
        <w:spacing w:after="0"/>
        <w:tabs>
          <w:tab w:leader="none" w:pos="13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520"/>
        <w:spacing w:after="0"/>
        <w:tabs>
          <w:tab w:leader="none" w:pos="170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520"/>
        <w:spacing w:after="0"/>
        <w:tabs>
          <w:tab w:leader="none" w:pos="1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720" w:right="3339" w:hanging="1196"/>
        <w:spacing w:after="0" w:line="252" w:lineRule="auto"/>
        <w:tabs>
          <w:tab w:leader="none" w:pos="17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 Annual Report to Stockholders (only those portions specifically incorporated by reference herein shall be deemed filed with the Securities and Exchange Commission)</w:t>
      </w:r>
    </w:p>
    <w:p>
      <w:pPr>
        <w:spacing w:after="0" w:line="163" w:lineRule="exact"/>
        <w:rPr>
          <w:sz w:val="20"/>
          <w:szCs w:val="20"/>
          <w:color w:val="auto"/>
        </w:rPr>
      </w:pPr>
    </w:p>
    <w:p>
      <w:pPr>
        <w:ind w:left="1720" w:hanging="1196"/>
        <w:spacing w:after="0"/>
        <w:tabs>
          <w:tab w:leader="none" w:pos="17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w:t>
      </w:r>
    </w:p>
    <w:p>
      <w:pPr>
        <w:spacing w:after="0" w:line="172" w:lineRule="exact"/>
        <w:rPr>
          <w:rFonts w:ascii="Courier New" w:cs="Courier New" w:eastAsia="Courier New" w:hAnsi="Courier New"/>
          <w:sz w:val="14"/>
          <w:szCs w:val="14"/>
          <w:color w:val="auto"/>
        </w:rPr>
      </w:pPr>
    </w:p>
    <w:p>
      <w:pPr>
        <w:ind w:left="1720" w:hanging="1196"/>
        <w:spacing w:after="0"/>
        <w:tabs>
          <w:tab w:leader="none" w:pos="17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and Qualifying Accounts Schedule</w:t>
      </w:r>
    </w:p>
    <w:p>
      <w:pPr>
        <w:spacing w:after="0" w:line="172" w:lineRule="exact"/>
        <w:rPr>
          <w:rFonts w:ascii="Courier New" w:cs="Courier New" w:eastAsia="Courier New" w:hAnsi="Courier New"/>
          <w:sz w:val="14"/>
          <w:szCs w:val="14"/>
          <w:color w:val="auto"/>
        </w:rPr>
      </w:pPr>
    </w:p>
    <w:p>
      <w:pPr>
        <w:ind w:left="1720" w:hanging="1196"/>
        <w:spacing w:after="0"/>
        <w:tabs>
          <w:tab w:leader="none" w:pos="17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w:t>
      </w:r>
    </w:p>
    <w:p>
      <w:pPr>
        <w:spacing w:after="0" w:line="172" w:lineRule="exact"/>
        <w:rPr>
          <w:rFonts w:ascii="Courier New" w:cs="Courier New" w:eastAsia="Courier New" w:hAnsi="Courier New"/>
          <w:sz w:val="14"/>
          <w:szCs w:val="14"/>
          <w:color w:val="auto"/>
        </w:rPr>
      </w:pPr>
    </w:p>
    <w:p>
      <w:pPr>
        <w:ind w:left="1720" w:hanging="1196"/>
        <w:spacing w:after="0"/>
        <w:tabs>
          <w:tab w:leader="none" w:pos="17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w:t>
      </w:r>
    </w:p>
    <w:p>
      <w:pPr>
        <w:spacing w:after="0" w:line="173" w:lineRule="exact"/>
        <w:rPr>
          <w:sz w:val="20"/>
          <w:szCs w:val="20"/>
          <w:color w:val="auto"/>
        </w:rPr>
      </w:pPr>
    </w:p>
    <w:p>
      <w:pPr>
        <w:ind w:left="3100" w:right="6259" w:hanging="2576"/>
        <w:spacing w:after="0" w:line="756" w:lineRule="auto"/>
        <w:tabs>
          <w:tab w:leader="none" w:pos="172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57</w:t>
      </w:r>
    </w:p>
    <w:p>
      <w:pPr>
        <w:sectPr>
          <w:pgSz w:w="11900" w:h="16838" w:orient="portrait"/>
          <w:cols w:equalWidth="0" w:num="1">
            <w:col w:w="9979"/>
          </w:cols>
          <w:pgMar w:left="480" w:top="285" w:right="1440" w:bottom="1440" w:gutter="0" w:footer="0" w:header="0"/>
        </w:sectPr>
      </w:pPr>
    </w:p>
    <w:bookmarkStart w:id="57" w:name="page58"/>
    <w:bookmarkEnd w:id="57"/>
    <w:p>
      <w:pPr>
        <w:ind w:left="252"/>
        <w:spacing w:after="0"/>
        <w:rPr>
          <w:sz w:val="20"/>
          <w:szCs w:val="20"/>
          <w:color w:val="auto"/>
        </w:rPr>
      </w:pPr>
      <w:r>
        <w:rPr>
          <w:rFonts w:ascii="Courier New" w:cs="Courier New" w:eastAsia="Courier New" w:hAnsi="Courier New"/>
          <w:sz w:val="14"/>
          <w:szCs w:val="14"/>
          <w:color w:val="auto"/>
        </w:rPr>
        <w:t>58</w:t>
      </w:r>
    </w:p>
    <w:p>
      <w:pPr>
        <w:spacing w:after="0" w:line="338" w:lineRule="exact"/>
        <w:rPr>
          <w:sz w:val="20"/>
          <w:szCs w:val="20"/>
          <w:color w:val="auto"/>
        </w:rPr>
      </w:pPr>
    </w:p>
    <w:p>
      <w:pPr>
        <w:ind w:left="772" w:right="4799" w:hanging="774"/>
        <w:spacing w:after="0" w:line="255" w:lineRule="auto"/>
        <w:rPr>
          <w:sz w:val="20"/>
          <w:szCs w:val="20"/>
          <w:color w:val="auto"/>
        </w:rPr>
      </w:pPr>
      <w:r>
        <w:rPr>
          <w:rFonts w:ascii="Courier New" w:cs="Courier New" w:eastAsia="Courier New" w:hAnsi="Courier New"/>
          <w:sz w:val="14"/>
          <w:szCs w:val="14"/>
          <w:color w:val="auto"/>
        </w:rPr>
        <w:t>ITEM 14. EXHIBITS, FINANCIAL STATEMENT SCHEDULES AND REPORTS ON FORM 8-K (CONTINUED)</w:t>
      </w:r>
    </w:p>
    <w:p>
      <w:pPr>
        <w:spacing w:after="0" w:line="200" w:lineRule="exact"/>
        <w:rPr>
          <w:sz w:val="20"/>
          <w:szCs w:val="20"/>
          <w:color w:val="auto"/>
        </w:rPr>
      </w:pPr>
    </w:p>
    <w:p>
      <w:pPr>
        <w:spacing w:after="0" w:line="291" w:lineRule="exact"/>
        <w:rPr>
          <w:sz w:val="20"/>
          <w:szCs w:val="20"/>
          <w:color w:val="auto"/>
        </w:rPr>
      </w:pPr>
    </w:p>
    <w:p>
      <w:pPr>
        <w:ind w:left="432" w:right="359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3(a) to the Company's Form 10-K for the year ended September 30, 1993 (File no. 0-17972).</w:t>
      </w:r>
    </w:p>
    <w:p>
      <w:pPr>
        <w:spacing w:after="0" w:line="159" w:lineRule="exact"/>
        <w:rPr>
          <w:rFonts w:ascii="Courier New" w:cs="Courier New" w:eastAsia="Courier New" w:hAnsi="Courier New"/>
          <w:sz w:val="14"/>
          <w:szCs w:val="14"/>
          <w:color w:val="auto"/>
        </w:rPr>
      </w:pPr>
    </w:p>
    <w:p>
      <w:pPr>
        <w:ind w:left="432" w:right="367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3(b) to the Company's Registration Statement on Form S-1 (File no. 33-42384).</w:t>
      </w:r>
    </w:p>
    <w:p>
      <w:pPr>
        <w:spacing w:after="0" w:line="159" w:lineRule="exact"/>
        <w:rPr>
          <w:rFonts w:ascii="Courier New" w:cs="Courier New" w:eastAsia="Courier New" w:hAnsi="Courier New"/>
          <w:sz w:val="14"/>
          <w:szCs w:val="14"/>
          <w:color w:val="auto"/>
        </w:rPr>
      </w:pPr>
    </w:p>
    <w:p>
      <w:pPr>
        <w:ind w:left="432" w:right="393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of Exhibit 1 to the Company's Registration Statement on Form 8-A dated June 24, 1998 (File no. 0-17972).</w:t>
      </w:r>
    </w:p>
    <w:p>
      <w:pPr>
        <w:spacing w:after="0" w:line="159" w:lineRule="exact"/>
        <w:rPr>
          <w:rFonts w:ascii="Courier New" w:cs="Courier New" w:eastAsia="Courier New" w:hAnsi="Courier New"/>
          <w:sz w:val="14"/>
          <w:szCs w:val="14"/>
          <w:color w:val="auto"/>
        </w:rPr>
      </w:pPr>
    </w:p>
    <w:p>
      <w:pPr>
        <w:ind w:left="432" w:right="3419" w:hanging="432"/>
        <w:spacing w:after="0" w:line="250"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 to Amendment No. 1 to the Company's Registration Statement on Form 8-A dated February 5, 1999 (File no.</w:t>
      </w: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0-17972).</w:t>
      </w:r>
    </w:p>
    <w:p>
      <w:pPr>
        <w:spacing w:after="0" w:line="172" w:lineRule="exact"/>
        <w:rPr>
          <w:rFonts w:ascii="Courier New" w:cs="Courier New" w:eastAsia="Courier New" w:hAnsi="Courier New"/>
          <w:sz w:val="14"/>
          <w:szCs w:val="14"/>
          <w:color w:val="auto"/>
        </w:rPr>
      </w:pPr>
    </w:p>
    <w:p>
      <w:pPr>
        <w:ind w:left="432" w:right="3939" w:hanging="432"/>
        <w:spacing w:after="0" w:line="250"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corresponding exhibit number to the Company's Form 10-K for the year ended September 30, 1998 (File no.</w:t>
      </w: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0-17972).</w:t>
      </w:r>
    </w:p>
    <w:p>
      <w:pPr>
        <w:spacing w:after="0" w:line="172" w:lineRule="exact"/>
        <w:rPr>
          <w:rFonts w:ascii="Courier New" w:cs="Courier New" w:eastAsia="Courier New" w:hAnsi="Courier New"/>
          <w:sz w:val="14"/>
          <w:szCs w:val="14"/>
          <w:color w:val="auto"/>
        </w:rPr>
      </w:pPr>
    </w:p>
    <w:p>
      <w:pPr>
        <w:ind w:left="432" w:right="359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10(b) to the Company's Registration Statement on Form S-1 (File no. 33-30725).</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10(c) to the Company's Form 10-K for the year ended September 30, 1994 (File no. 0-17972).</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10(q) to the Company's Form 10-K for the year ended September 30, 1995 (File no. 0-17972).</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10(k) to the Company's Form 10-Q for the quarter ended March 31, 1999 (File no. 0-17972).</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10(j) to the Company's Form 10-K for the year ended September 30, 1999 (File no. 0-17972).</w:t>
      </w:r>
    </w:p>
    <w:p>
      <w:pPr>
        <w:spacing w:after="0" w:line="159" w:lineRule="exact"/>
        <w:rPr>
          <w:rFonts w:ascii="Courier New" w:cs="Courier New" w:eastAsia="Courier New" w:hAnsi="Courier New"/>
          <w:sz w:val="14"/>
          <w:szCs w:val="14"/>
          <w:color w:val="auto"/>
        </w:rPr>
      </w:pPr>
    </w:p>
    <w:p>
      <w:pPr>
        <w:ind w:left="432" w:right="3339" w:hanging="432"/>
        <w:spacing w:after="0" w:line="255"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B to the Company's Proxy Statement for its Annual Meeting of Stockholders held on January 31, 1996.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1"/>
          </w:cols>
          <w:pgMar w:left="228"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59</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DIGI INTERNATIONAL INC.</w:t>
      </w:r>
    </w:p>
    <w:p>
      <w:pPr>
        <w:spacing w:after="0" w:line="338" w:lineRule="exact"/>
        <w:rPr>
          <w:sz w:val="20"/>
          <w:szCs w:val="20"/>
          <w:color w:val="auto"/>
        </w:rPr>
      </w:pPr>
    </w:p>
    <w:p>
      <w:pPr>
        <w:ind w:left="180"/>
        <w:spacing w:after="0"/>
        <w:tabs>
          <w:tab w:leader="none" w:pos="2320" w:val="left"/>
          <w:tab w:leader="none" w:pos="2740" w:val="left"/>
          <w:tab w:leader="none" w:pos="3180" w:val="left"/>
        </w:tabs>
        <w:rPr>
          <w:sz w:val="20"/>
          <w:szCs w:val="20"/>
          <w:color w:val="auto"/>
        </w:rPr>
      </w:pPr>
      <w:r>
        <w:rPr>
          <w:rFonts w:ascii="Courier New" w:cs="Courier New" w:eastAsia="Courier New" w:hAnsi="Courier New"/>
          <w:sz w:val="14"/>
          <w:szCs w:val="14"/>
          <w:color w:val="auto"/>
        </w:rPr>
        <w:t>December 21, 2000</w:t>
      </w:r>
      <w:r>
        <w:rPr>
          <w:sz w:val="20"/>
          <w:szCs w:val="20"/>
          <w:color w:val="auto"/>
        </w:rPr>
        <w:tab/>
      </w:r>
      <w:r>
        <w:rPr>
          <w:rFonts w:ascii="Courier New" w:cs="Courier New" w:eastAsia="Courier New" w:hAnsi="Courier New"/>
          <w:sz w:val="14"/>
          <w:szCs w:val="14"/>
          <w:color w:val="auto"/>
        </w:rPr>
        <w:t>By:</w:t>
        <w:tab/>
        <w:t>/s/</w:t>
        <w:tab/>
        <w:t>Joseph T. Dunsmore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Joseph T. Dunsmore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President, Chief Executive Officer, and Chairman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December 21, 2000</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Joseph T. Dunsmore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T. Dunsmore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 and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ectPr>
          <w:pgSz w:w="11900" w:h="16838" w:orient="portrait"/>
          <w:cols w:equalWidth="0" w:num="2">
            <w:col w:w="2040" w:space="720"/>
            <w:col w:w="7479"/>
          </w:cols>
          <w:pgMar w:left="220" w:top="285" w:right="1440" w:bottom="1440" w:gutter="0" w:footer="0" w:header="0"/>
          <w:type w:val="continuous"/>
        </w:sectPr>
      </w:pPr>
    </w:p>
    <w:p>
      <w:pPr>
        <w:spacing w:after="0" w:line="1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December 21, 2000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Subramanian Krishnan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Subramanian Krishnan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200" w:lineRule="exact"/>
        <w:rPr>
          <w:sz w:val="20"/>
          <w:szCs w:val="20"/>
          <w:color w:val="auto"/>
        </w:rPr>
      </w:pPr>
    </w:p>
    <w:p>
      <w:pPr>
        <w:sectPr>
          <w:pgSz w:w="11900" w:h="16838" w:orient="portrait"/>
          <w:cols w:equalWidth="0" w:num="2">
            <w:col w:w="2040" w:space="720"/>
            <w:col w:w="7479"/>
          </w:cols>
          <w:pgMar w:left="220" w:top="285"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T. DUNSMORE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E. EICHHORN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E. MILLARD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S. MOE</w:t>
      </w:r>
    </w:p>
    <w:p>
      <w:pPr>
        <w:spacing w:after="0" w:line="7"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4"/>
          <w:szCs w:val="14"/>
          <w:color w:val="auto"/>
        </w:rPr>
        <w:t>MYKOLA MOROZ</w:t>
      </w:r>
      <w:r>
        <w:rPr>
          <w:sz w:val="20"/>
          <w:szCs w:val="20"/>
          <w:color w:val="auto"/>
        </w:rPr>
        <w:tab/>
      </w:r>
      <w:r>
        <w:rPr>
          <w:rFonts w:ascii="Courier New" w:cs="Courier New" w:eastAsia="Courier New" w:hAnsi="Courier New"/>
          <w:sz w:val="14"/>
          <w:szCs w:val="14"/>
          <w:color w:val="auto"/>
        </w:rPr>
        <w:t>A majority of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SEEDMAN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STANLEY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TUCKER</w:t>
      </w:r>
    </w:p>
    <w:p>
      <w:pPr>
        <w:spacing w:after="0" w:line="173"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*Subramanian Krishnan, by signing his name hereto, does hereby sign this document on behalf of each of the above named directors of the Registrant pursuant to Powers of Attorney duly executed by such persons.</w:t>
      </w:r>
    </w:p>
    <w:p>
      <w:pPr>
        <w:spacing w:after="0" w:line="163" w:lineRule="exact"/>
        <w:rPr>
          <w:sz w:val="20"/>
          <w:szCs w:val="20"/>
          <w:color w:val="auto"/>
        </w:rPr>
      </w:pPr>
    </w:p>
    <w:p>
      <w:pPr>
        <w:ind w:left="180"/>
        <w:spacing w:after="0"/>
        <w:tabs>
          <w:tab w:leader="none" w:pos="2740" w:val="left"/>
        </w:tabs>
        <w:rPr>
          <w:sz w:val="20"/>
          <w:szCs w:val="20"/>
          <w:color w:val="auto"/>
        </w:rPr>
      </w:pPr>
      <w:r>
        <w:rPr>
          <w:rFonts w:ascii="Courier New" w:cs="Courier New" w:eastAsia="Courier New" w:hAnsi="Courier New"/>
          <w:sz w:val="14"/>
          <w:szCs w:val="14"/>
          <w:color w:val="auto"/>
        </w:rPr>
        <w:t>December 21, 2000</w:t>
      </w:r>
      <w:r>
        <w:rPr>
          <w:sz w:val="20"/>
          <w:szCs w:val="20"/>
          <w:color w:val="auto"/>
        </w:rPr>
        <w:tab/>
      </w:r>
      <w:r>
        <w:rPr>
          <w:rFonts w:ascii="Courier New" w:cs="Courier New" w:eastAsia="Courier New" w:hAnsi="Courier New"/>
          <w:sz w:val="14"/>
          <w:szCs w:val="14"/>
          <w:color w:val="auto"/>
        </w:rPr>
        <w:t>/s/ Subramanian Krishnan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Subramanian Krishnan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5" w:right="1440"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61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497"/>
        </w:trPr>
        <w:tc>
          <w:tcPr>
            <w:tcW w:w="1420" w:type="dxa"/>
            <w:vAlign w:val="bottom"/>
          </w:tcPr>
          <w:p>
            <w:pPr>
              <w:spacing w:after="0"/>
              <w:rPr>
                <w:sz w:val="20"/>
                <w:szCs w:val="20"/>
                <w:color w:val="auto"/>
              </w:rPr>
            </w:pPr>
            <w:r>
              <w:rPr>
                <w:rFonts w:ascii="Courier New" w:cs="Courier New" w:eastAsia="Courier New" w:hAnsi="Courier New"/>
                <w:sz w:val="14"/>
                <w:szCs w:val="14"/>
                <w:color w:val="auto"/>
              </w:rPr>
              <w:t>EXHIBIT INDEX</w:t>
            </w:r>
          </w:p>
        </w:tc>
        <w:tc>
          <w:tcPr>
            <w:tcW w:w="6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663"/>
        </w:trPr>
        <w:tc>
          <w:tcPr>
            <w:tcW w:w="14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120" w:type="dxa"/>
            <w:vAlign w:val="bottom"/>
          </w:tcPr>
          <w:p>
            <w:pPr>
              <w:ind w:left="2200"/>
              <w:spacing w:after="0"/>
              <w:rPr>
                <w:sz w:val="20"/>
                <w:szCs w:val="20"/>
                <w:color w:val="auto"/>
              </w:rPr>
            </w:pPr>
            <w:r>
              <w:rPr>
                <w:rFonts w:ascii="Courier New" w:cs="Courier New" w:eastAsia="Courier New" w:hAnsi="Courier New"/>
                <w:sz w:val="14"/>
                <w:szCs w:val="14"/>
                <w:color w:val="auto"/>
              </w:rPr>
              <w:t>Description</w:t>
            </w:r>
          </w:p>
        </w:tc>
        <w:tc>
          <w:tcPr>
            <w:tcW w:w="1940" w:type="dxa"/>
            <w:vAlign w:val="bottom"/>
          </w:tcPr>
          <w:p>
            <w:pPr>
              <w:ind w:left="134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12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Restated Certificate of Incorporation of the</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Registrant, as amended</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3(b)</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Amended and Restated By-Laws of the Registrant</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4(a)</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Form of Rights Agreement, dated as of June 10, 1998</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between Digi International Inc. and Wells Fargo Bank</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Minnesota, National Association (formerly known as</w:t>
            </w:r>
          </w:p>
        </w:tc>
        <w:tc>
          <w:tcPr>
            <w:tcW w:w="194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Norwest Bank Minnesota, National Association), as</w:t>
            </w:r>
          </w:p>
        </w:tc>
        <w:tc>
          <w:tcPr>
            <w:tcW w:w="194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Rights Agent</w:t>
            </w:r>
          </w:p>
        </w:tc>
        <w:tc>
          <w:tcPr>
            <w:tcW w:w="194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Amendment dated January 26, 1999, to Shares Rights</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agreement, dated as of June 10, 1998 between Digi</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International Inc. and Wells Fargo Bank Minnesota,</w:t>
            </w:r>
          </w:p>
        </w:tc>
        <w:tc>
          <w:tcPr>
            <w:tcW w:w="194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National Association (formerly known as Norwest</w:t>
            </w:r>
          </w:p>
        </w:tc>
        <w:tc>
          <w:tcPr>
            <w:tcW w:w="194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Bank Minnesota, National Association), as Rights Agent</w:t>
            </w:r>
          </w:p>
        </w:tc>
        <w:tc>
          <w:tcPr>
            <w:tcW w:w="194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10(a)</w:t>
            </w:r>
          </w:p>
        </w:tc>
        <w:tc>
          <w:tcPr>
            <w:tcW w:w="6120" w:type="dxa"/>
            <w:vAlign w:val="bottom"/>
          </w:tcPr>
          <w:p>
            <w:pPr>
              <w:ind w:left="400"/>
              <w:spacing w:after="0"/>
              <w:rPr>
                <w:sz w:val="20"/>
                <w:szCs w:val="20"/>
                <w:color w:val="auto"/>
              </w:rPr>
            </w:pPr>
            <w:r>
              <w:rPr>
                <w:rFonts w:ascii="Courier New" w:cs="Courier New" w:eastAsia="Courier New" w:hAnsi="Courier New"/>
                <w:sz w:val="14"/>
                <w:szCs w:val="14"/>
                <w:color w:val="auto"/>
              </w:rPr>
              <w:t>Stock Option Plan of the Registrant</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10(b)</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Form of indemnification agreement with directors</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and officers of the Registrant</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10(c)</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Amended and Restated Employment Agreement between</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the Registrant and John P. Schinas</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10(d)</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Employment Arrangement between the Registrant and</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Douglas Glader</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10(d)(i)</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Amendment to Employment Agreement between the</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Registrant and Douglas Glader, dated as of December 13, 2000</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10(e)</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the Registrant and Subramanian</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Krishnan dated March 26, 1999</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10(e)(i)</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Amendment to the Agreement between the Registrant and</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Subramanian Krishnan dated November 20, 2000</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10(f)</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Employment Agreement between the Registrant and</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Joseph T. Dunsmore, dated October 24, 1999</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10(g)</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the Registrant and Bruce</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Berger dated March 29, 2000</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10(h)</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Employee Stock Purchase Plan of the Registrant</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w w:val="99"/>
              </w:rPr>
              <w:t>Incorporated by</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2000 Annual Report to Stockholders</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Subsidiaries of the Registrant</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Valuation and Qualifying Accounts Schedule</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Consent of Independent Accountants</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Powers of Attorney</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Financial Data Schedule</w:t>
            </w: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Filed</w:t>
            </w:r>
          </w:p>
        </w:tc>
      </w:tr>
      <w:tr>
        <w:trPr>
          <w:trHeight w:val="166"/>
        </w:trPr>
        <w:tc>
          <w:tcPr>
            <w:tcW w:w="1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4"/>
                <w:szCs w:val="14"/>
                <w:color w:val="auto"/>
              </w:rPr>
              <w:t>Electronically</w:t>
            </w:r>
          </w:p>
        </w:tc>
      </w:tr>
      <w:tr>
        <w:trPr>
          <w:trHeight w:val="663"/>
        </w:trPr>
        <w:tc>
          <w:tcPr>
            <w:tcW w:w="1420" w:type="dxa"/>
            <w:vAlign w:val="bottom"/>
          </w:tcPr>
          <w:p>
            <w:pPr>
              <w:spacing w:after="0"/>
              <w:rPr>
                <w:sz w:val="24"/>
                <w:szCs w:val="24"/>
                <w:color w:val="auto"/>
              </w:rPr>
            </w:pPr>
          </w:p>
        </w:tc>
        <w:tc>
          <w:tcPr>
            <w:tcW w:w="6120" w:type="dxa"/>
            <w:vAlign w:val="bottom"/>
          </w:tcPr>
          <w:p>
            <w:pPr>
              <w:ind w:left="1940"/>
              <w:spacing w:after="0"/>
              <w:rPr>
                <w:sz w:val="20"/>
                <w:szCs w:val="20"/>
                <w:color w:val="auto"/>
              </w:rPr>
            </w:pPr>
            <w:r>
              <w:rPr>
                <w:rFonts w:ascii="Courier New" w:cs="Courier New" w:eastAsia="Courier New" w:hAnsi="Courier New"/>
                <w:sz w:val="14"/>
                <w:szCs w:val="14"/>
                <w:color w:val="auto"/>
              </w:rPr>
              <w:t>60</w:t>
            </w:r>
          </w:p>
        </w:tc>
        <w:tc>
          <w:tcPr>
            <w:tcW w:w="19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10(d)(i)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13, 2000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AND CONFIDENTIAL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Douglas J. Glader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MiLAN Technology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1299 Orleans Avenue</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Sunnyvale, CA</w:t>
      </w:r>
      <w:r>
        <w:rPr>
          <w:sz w:val="20"/>
          <w:szCs w:val="20"/>
          <w:color w:val="auto"/>
        </w:rPr>
        <w:tab/>
      </w:r>
      <w:r>
        <w:rPr>
          <w:rFonts w:ascii="Courier New" w:cs="Courier New" w:eastAsia="Courier New" w:hAnsi="Courier New"/>
          <w:sz w:val="14"/>
          <w:szCs w:val="14"/>
          <w:color w:val="auto"/>
        </w:rPr>
        <w:t>94089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Doug:</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letter, dated as of the date set forth above, confirms the terms of an amendment to your Employment Agreement with the Company dated February 6, 1995, as previously amended by letter agreements dated January 16, 1997 and November 20, 2000 (the "Agreement"). This letter also clarifies certain items contained in a memorandum dated April 19, 2000 regarding your relocation to California (the "Memorandum").</w:t>
      </w:r>
    </w:p>
    <w:p>
      <w:pPr>
        <w:spacing w:after="0" w:line="164" w:lineRule="exact"/>
        <w:rPr>
          <w:sz w:val="20"/>
          <w:szCs w:val="20"/>
          <w:color w:val="auto"/>
        </w:rPr>
      </w:pPr>
    </w:p>
    <w:p>
      <w:pPr>
        <w:ind w:right="3339" w:firstLine="784"/>
        <w:spacing w:after="0" w:line="251" w:lineRule="auto"/>
        <w:tabs>
          <w:tab w:leader="none" w:pos="103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satisfy any obligation that you incur for federal and state income taxes on amounts that the Company either paid on your behalf or paid to you in reimbursement of your expenses related to the following items: house-hunting trips, temporary housing, household moving and insurance, temporary storage, and closing costs on both your previous residence in Minnesota and your current residence in California.</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03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you (a) $8,481.66 per month and (b) the difference between annual real estate taxes you pay on your current residence in California and the 2000 homestead property tax on your former residence in Minnesota (the amounts in (a) and (b) are referred to as "Housing Normalization Payments") until the earliest of (i) the date on which you sell your current residence in California, (ii) the date on which you cease to be an employee of the Company, or (iii) the first date on which you are both free to trade under the Company's insider trading policy and you are legally entitled to sell shares of the Company's Common Stock that can be acquired under stock options granted to you by the Company and the net profit from such a sale (whether or not such sale actually occurs) after your payment of federal and state income taxes (whether or not such taxes are actually paid) would equal at least one million dollars. In addition, the Company agrees to make an additional after-tax payment to you in the full amount necessary to cover the additional federal and state income tax liability imposed on you because of your receipt of the Housing Normalization Payments, but reduced by any tax benefit you derive as a result of the deductibility of payments you make that are attributable to the Housing Normalization Payments.</w:t>
      </w:r>
    </w:p>
    <w:p>
      <w:pPr>
        <w:spacing w:after="0" w:line="173"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shall repay to the Company $243,056.00 on or before January 26,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ectPr>
          <w:pgSz w:w="11900" w:h="16838" w:orient="portrait"/>
          <w:cols w:equalWidth="0" w:num="1">
            <w:col w:w="10239"/>
          </w:cols>
          <w:pgMar w:left="220" w:top="141"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firstLine="784"/>
        <w:spacing w:after="0" w:line="251" w:lineRule="auto"/>
        <w:tabs>
          <w:tab w:leader="none" w:pos="103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is terminated by the Company without "cause", you shall be entitled to severance pay equal to one year's base salary and a bonus (if earned) that would be prorated for the portion of the fiscal year through your employment termination date. The definition of "cause", which was originally attached as an appendix to the Agreement, is now attached to this letter. This letter shall not be construed so as to amend the definition of "cause" contained in the terms and conditions of your options to purchase shares of the Company's Common Stock.</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letter constitutes the entire agreement between you and the Company regarding the subject matters contained herein and supersedes the January 16, 1997 and November 20, 2000 letter agreements, the Memorandum, and all other prior agreements and understandings relating to such subject matters.</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If the terms stated above are acceptable, please confirm by signing the enclosed copy below and returning it to me.</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Yours very truly,</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 Joseph T. Dunsmore</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Joseph T. Dunsmore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ACCEPTED:</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 Douglas J. Glader</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Douglas J. Glader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APPENDIX</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 of Cause - Douglas J. Glader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December 13, 2000</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For purposes of Douglas J. Glader's letter dated as of December 13, 2000, "cause" shall mean only the following: (i) indictment or conviction of, or a plea of nolo contendere to, (A) any felony (other than any felony arising out of negligence) or any misdemeanor involving moral turpitude, or (B) any crime or offense involving dishonesty with respect to Digi International Inc. or any of its subsidiaries (collectively, the "Company"); (ii) theft or embezzlement of Company property or commission of similar acts involving dishonesty or moral turpitude; (iii) repeated material negligence in the performance of your duties;</w:t>
      </w:r>
    </w:p>
    <w:p>
      <w:pPr>
        <w:spacing w:after="0" w:line="3" w:lineRule="exact"/>
        <w:rPr>
          <w:sz w:val="20"/>
          <w:szCs w:val="20"/>
          <w:color w:val="auto"/>
        </w:rPr>
      </w:pPr>
    </w:p>
    <w:p>
      <w:pPr>
        <w:ind w:right="3339" w:firstLine="8"/>
        <w:spacing w:after="0" w:line="251" w:lineRule="auto"/>
        <w:tabs>
          <w:tab w:leader="none" w:pos="43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failure to devote substantially all of your working time and efforts during normal business hours to the Company's business; (v) knowing engagement in conduct which is materially injurious to the Company; (vi) knowing failure, for your own benefit, to comply with the Company's policies concerning confidentiality; (vii) knowingly providing materially misleading information concerning the Company to the Company's Chief Executive Officer or Board of Directors, any governmental body or regulatory agency or to any lender or other financing source or proposed financing source of the Company; or (viii) any other failure by you to substantially perform your material duties (excluding nonperformance resulting from your disability) which failure is not cured within thirty (30) days after written notice from the Chairman of the Board or the Chief Executive Officer of the Company specifying the act of nonperformance or within such longer period (but no longer than ninety (90) days in any event) as is reasonably required to cure such nonperformance.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10(e)(i)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November 20,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AND CONFIDENTIAL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Subramanian Krishnan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11001 Bren Road East</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Minnetonka, MN</w:t>
        <w:tab/>
        <w:t>55343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Kris: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This letter confirms the terms of an amendment to your severance agreement with the Company as set forth in the letter agreement dated March 26, 1999 (the "Agreement"). Except as specifically provided for herein, the terms of the Agreement remain in full force and effect.</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you are terminated by the Company without "cause" on or before the date of the January 2001 Annual Meeting of Shareholders or any adjournment thereof, you would be entitled to severance equal to one year's base salary and a bonus (if earned), based on your cash bonus target that would be pro-rated for the portion of the fiscal year through the termination date.</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Agreement as amended by this letter constitutes the entire agreement between you and the Company regarding the subject matter contained therein and supersedes all prior agreements and understandings relating thereto.</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If the terms outlined above are acceptable, please confirm by signing the enclosed copy below and returning it to me.</w:t>
      </w:r>
    </w:p>
    <w:p>
      <w:pPr>
        <w:spacing w:after="0" w:line="3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DIGI INTERNATIONAL INC.</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Joseph T. Dunsmore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ACCEPTED:</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Subramanian Krishnan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Subramanian Krishnan</w:t>
      </w:r>
    </w:p>
    <w:p>
      <w:pPr>
        <w:sectPr>
          <w:pgSz w:w="11900" w:h="16838" w:orient="portrait"/>
          <w:cols w:equalWidth="0" w:num="1">
            <w:col w:w="10239"/>
          </w:cols>
          <w:pgMar w:left="220" w:top="141"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3/29/00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Bruce 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2916 Bethany Place</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Clearwater, Florida</w:t>
        <w:tab/>
        <w:t>33759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Bruce,</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On behalf of Digi International Inc., I am pleased to offer you employment as Vice President and General Manager, European Operations reporting to Joe Dunsmore.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ASSIGNMENT</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first three months of your employment will be a temporary assignment in Minneapolis. You will then be placed on expatriate status and relocated to Germany. Please refer to the attached copy of your Temporary Assignment Agreement for further details of Digi's expatriate program.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w:t>
      </w:r>
    </w:p>
    <w:p>
      <w:pPr>
        <w:spacing w:after="0" w:line="173" w:lineRule="exact"/>
        <w:rPr>
          <w:sz w:val="20"/>
          <w:szCs w:val="20"/>
          <w:color w:val="auto"/>
        </w:rPr>
      </w:pPr>
    </w:p>
    <w:p>
      <w:pPr>
        <w:jc w:val="both"/>
        <w:ind w:right="4119"/>
        <w:spacing w:after="0" w:line="252" w:lineRule="auto"/>
        <w:rPr>
          <w:sz w:val="20"/>
          <w:szCs w:val="20"/>
          <w:color w:val="auto"/>
        </w:rPr>
      </w:pPr>
      <w:r>
        <w:rPr>
          <w:rFonts w:ascii="Courier New" w:cs="Courier New" w:eastAsia="Courier New" w:hAnsi="Courier New"/>
          <w:sz w:val="14"/>
          <w:szCs w:val="14"/>
          <w:color w:val="auto"/>
        </w:rPr>
        <w:t>Your starting annualized total compensation target for this position is $380,000. This is based on an annualized base salary of $200,000 and an annualized incentive target of $180,000.</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INCENTIVE PLAN: You will participate in Digi's corporate incentive program. Your target incentive is 90% of base salary. Incentive payouts are based 50% on individual performance and 50% on corporate performance. This program requires a threshold level of corporate performance before incentive payouts are made. Your fiscal 2000 incentive payment will be guaranteed at target (on a pro rata basis).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will recommend to the Board of Directors an initial grant of 75,000 stock options. Your options will be at the market price as of closing on the day that the board approves your grant. Options will vest over four years at a rate of 25% (18,750 shares) upon completion of one year, then proportionate monthly vesting thereafter. In the event that the Board of Directors does not approve the full grant of 75,000 shares, we will re-negotiate the terms of your compensation package. Joe Dunsmore will make a special request to the Board of Directors requesting a full acceleration of the vesting of your options upon involuntary termination for reasons other than cause (to be outlined in the stock option agreement). Please understand that the current policy of the Board is to approve this request only for officers of the company and that we can not predict or guarantee approval of this request. If the request is denied, no adjustments will be made to any terms of this offer or your expatriate agreement.</w:t>
      </w:r>
    </w:p>
    <w:p>
      <w:pPr>
        <w:sectPr>
          <w:pgSz w:w="11900" w:h="16838" w:orient="portrait"/>
          <w:cols w:equalWidth="0" w:num="1">
            <w:col w:w="10239"/>
          </w:cols>
          <w:pgMar w:left="220" w:top="141"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While on expatriate assignment, you will participate in the U.S. based benefit plans as allowed by U.S. and German insurance and tax regulations. Digi's benefit program includes Medical, Dental, Life and Disability Insurance, Medical and Dependent Care Reimbursement Plans, 401(k) Savings Plan, Employee Stock Purchase Plan, and a Tuition Reimbursement Program. You will be eligible for participation in Digi's health insurance programs on the first day active employment with the company and will be eligible for participation in the 401(k) Savings Plan on the first day of the month following date of hire. Stock Purchase Plan participation eligibility begins on the first of January, April, July and October following date of hire.</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Vacation accrual begins on the date of hire. Your annualized accrual will be 4 weeks. You will be entitled to the local holidays observed by the European office while on assignment.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RELOCATION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Digi will cover the relocation costs resulting for the move to Germany and the subsequent move to Minneapolis or other mutually agreed upon location at the end of your European assignment. Refer to the copy dated 3/29/00 of the expatriate agreement for full details on the relocation benefits. Covered expenses include:</w:t>
      </w:r>
    </w:p>
    <w:p>
      <w:pPr>
        <w:spacing w:after="0" w:line="162" w:lineRule="exact"/>
        <w:rPr>
          <w:sz w:val="20"/>
          <w:szCs w:val="20"/>
          <w:color w:val="auto"/>
        </w:rPr>
      </w:pPr>
    </w:p>
    <w:p>
      <w:pPr>
        <w:ind w:left="860" w:right="3419" w:hanging="421"/>
        <w:spacing w:after="0" w:line="251"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your current residence if it does not sell within 90 days of the date it is listed. The home purchase will be based on the average of two independent appraisals. Our target is to have this property sold (either to the final buyer or Digi International) prior to your departure to Germany.</w:t>
      </w:r>
    </w:p>
    <w:p>
      <w:pPr>
        <w:spacing w:after="0" w:line="164"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Realtor fees and closing costs on the sale of your existing home.</w:t>
      </w:r>
    </w:p>
    <w:p>
      <w:pPr>
        <w:spacing w:after="0" w:line="172" w:lineRule="exact"/>
        <w:rPr>
          <w:rFonts w:ascii="Courier New" w:cs="Courier New" w:eastAsia="Courier New" w:hAnsi="Courier New"/>
          <w:sz w:val="14"/>
          <w:szCs w:val="14"/>
          <w:color w:val="auto"/>
        </w:rPr>
      </w:pPr>
    </w:p>
    <w:p>
      <w:pPr>
        <w:jc w:val="both"/>
        <w:ind w:left="860" w:right="3419" w:hanging="421"/>
        <w:spacing w:after="0" w:line="250"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housing expenses during your initial three-month assignment in Minneapolis. This includes a fully furnished apartment, rental car expense for two vehicles, and storage costs for your household goods.</w:t>
      </w:r>
    </w:p>
    <w:p>
      <w:pPr>
        <w:spacing w:after="0" w:line="1" w:lineRule="exact"/>
        <w:rPr>
          <w:rFonts w:ascii="Courier New" w:cs="Courier New" w:eastAsia="Courier New" w:hAnsi="Courier New"/>
          <w:sz w:val="14"/>
          <w:szCs w:val="14"/>
          <w:color w:val="auto"/>
        </w:rPr>
      </w:pPr>
    </w:p>
    <w:p>
      <w:pPr>
        <w:ind w:left="86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Digi will provide a $1,500 gross payment to cover all other incidental expenses resulting from your temporary move to Minneapolis.</w:t>
      </w:r>
    </w:p>
    <w:p>
      <w:pPr>
        <w:spacing w:after="0" w:line="159" w:lineRule="exact"/>
        <w:rPr>
          <w:rFonts w:ascii="Courier New" w:cs="Courier New" w:eastAsia="Courier New" w:hAnsi="Courier New"/>
          <w:sz w:val="14"/>
          <w:szCs w:val="14"/>
          <w:color w:val="auto"/>
        </w:rPr>
      </w:pPr>
    </w:p>
    <w:p>
      <w:pPr>
        <w:ind w:left="860" w:right="3679" w:hanging="421"/>
        <w:spacing w:after="0" w:line="255"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advance house hunting trip to Germany for you and your spouse. This can be up to one week in duration.</w:t>
      </w:r>
    </w:p>
    <w:p>
      <w:pPr>
        <w:spacing w:after="0" w:line="159" w:lineRule="exact"/>
        <w:rPr>
          <w:rFonts w:ascii="Courier New" w:cs="Courier New" w:eastAsia="Courier New" w:hAnsi="Courier New"/>
          <w:sz w:val="14"/>
          <w:szCs w:val="14"/>
          <w:color w:val="auto"/>
        </w:rPr>
      </w:pPr>
    </w:p>
    <w:p>
      <w:pPr>
        <w:ind w:left="860" w:right="3679" w:hanging="421"/>
        <w:spacing w:after="0" w:line="255"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Shipment and temporary storage of household goods. Storage of your household goods not shipped to Germany.</w:t>
      </w:r>
    </w:p>
    <w:p>
      <w:pPr>
        <w:spacing w:after="0" w:line="159"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your relocation to Minneapolis or other mutually agreed upon location at the end of your expatriate assignment, relocation benefits include one advance house hunting trip, the closing costs on the purchase of a new home and 90 days of temporary housing costs. Closing costs do not include points paid on the purchase</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860" w:right="3339"/>
        <w:spacing w:after="0" w:line="255" w:lineRule="auto"/>
        <w:rPr>
          <w:sz w:val="20"/>
          <w:szCs w:val="20"/>
          <w:color w:val="auto"/>
        </w:rPr>
      </w:pPr>
      <w:r>
        <w:rPr>
          <w:rFonts w:ascii="Courier New" w:cs="Courier New" w:eastAsia="Courier New" w:hAnsi="Courier New"/>
          <w:sz w:val="14"/>
          <w:szCs w:val="14"/>
          <w:color w:val="auto"/>
        </w:rPr>
        <w:t>of a new home. Shipment of household goods will be covered as detailed in the expatriate agreement.</w:t>
      </w:r>
    </w:p>
    <w:p>
      <w:pPr>
        <w:spacing w:after="0" w:line="160" w:lineRule="exact"/>
        <w:rPr>
          <w:sz w:val="20"/>
          <w:szCs w:val="20"/>
          <w:color w:val="auto"/>
        </w:rPr>
      </w:pPr>
    </w:p>
    <w:p>
      <w:pPr>
        <w:ind w:left="860" w:hanging="421"/>
        <w:spacing w:after="0"/>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"gross-up" of all taxable relocation expenses.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PRE-EMPLOYMENT TRIP TO GERMANY</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Digi International will provide you and your spouse with a trip to Germany prior to your acceptance of this offer. The trip includes airfare (economy class), lodging, transportation, meals and other incidental expenses. Please contact me to initiate the arrangements for this trip.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Digi International should terminate your employment at any point after your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successful repatriation to a United States assignment, you will be provided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of severance pay (based on your base salary at the time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You will also receive a pro-rata bonus payment based on number of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worked in the fiscal year and actual company fiscal year performance 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does not include any situations where you were involuntarily terminated for cause. Typical reasons for termination for cause include but are not limited to: failure to perform job duties; violation of company policies; being in competition with the employer; fighting or other unacceptable conduct; and insubordination or failure to carry out an order.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EMPLOYMENT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offer of employment is contingent upon your signature on the enclosed Digi International Employment Agreement. Your signature constitutes acceptance of the terms and conditions contained in the Agreement, so please read it thoroughly prior to signing. This offer is also conditioned upon Digi's determination that you are not subject to any agreement with any former employer or any other party that would prohibit you from working in the position of MANAGING DIRECTOR, EUROPEAN OPERATIONS. If at any time in the future the Company determines that you are subject to an agreement that, in Digi's sole discretion, would prohibit your employment by Digi, Digi may withdraw this offer of employment or terminate your employment with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Employment with Digi International Inc. is "at will," which means that it is for no definite period and may be terminated by either you or Digi at any time for any reason without prior notice. I understand, agree, and acknowledge that any reliance on any statements by any representative of the company contrary to this "at will" arrangement is unreasonable and may not form any basis for my reliance thereon.</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Your start date is targeted for April 17, 2000. Please inform Joe of your acceptance of this offer within one week of your trip to Germany and acknowledge your acceptance by signing</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one of the enclosed copies and returning it to me along with your signed Employment Agreement prior to your first day of employment.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Bruce, you will be a great addition to the "Digi team". Please contact me with any questions you may have and to negotiate a start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INC.</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Tracy Roberts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Tracy Roberts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Human Resources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ACCEPTED:</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Bruce 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Berger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May 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Start Date</w:t>
      </w:r>
    </w:p>
    <w:p>
      <w:pPr>
        <w:sectPr>
          <w:pgSz w:w="11900" w:h="16838" w:orient="portrait"/>
          <w:cols w:equalWidth="0" w:num="3">
            <w:col w:w="2240" w:space="440"/>
            <w:col w:w="1460" w:space="340"/>
            <w:col w:w="5759"/>
          </w:cols>
          <w:pgMar w:left="220" w:top="285"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13</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2000 Annual Report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Digi International (NASDAQ: DGII) is the worldwide leader in connecting peripherals to networks. From multiport serial control to USB connectivity to remote access to LAN infrastructure, Digi's products enable a virtually unlimited number of devices or users to be connected locally or remotely to LANs, multi-user systems and the Internet. The Company's products are compatible with all PC platforms, including Compaq, IBM, Hewlett-Packard and Sun Microsystems, as well as popular operating systems, such as Microsoft Windows 2000, Novell NetWare, Linux and UNIX.</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Digi sells and markets its products through a global network of distributors, systems integrators, Value Added Resellers (VARs) and Original Equipment Manufacturers (OEMs). The company also sells direct to select accounts and the government. With sales offices located throughout North America, Europe, Australia and Asia, Digi products are available through 180 distributors in more than 65 countries. More than 650 VARs participate in the DigiVAR Program, introduced in July 1993. Digi is headquartered in Minnetonka, Minn., a suburb of Minneapolis, and employs 525 people worldwide.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141"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annual report, including the data set forth below, should be read in conjunction with Digi International Inc.'s Annual Report on Form 10-K for the year ended September 30, 2000, which includes Digi's financial statements, notes thereto and other information regarding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Financial Highlights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$132,525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193,506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182,932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$165,598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193,151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Acquired in-process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16,065</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Restructuring</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1,382</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607</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10,472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AetherWorks Corporation net operating</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(5,764)</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AetherWorks Corporation gain</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(write-off)</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(5,759)</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(Loss) income before taxes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(21,163)</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7,979</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(15,699)</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16,805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(16,825)</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(15,791)</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per share - basic</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 income per share -</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assuming dilution</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 -</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15,062</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14,696</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13,730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13,393</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-assuming dilution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15,062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14,831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13,730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13,393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13,583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$ 78,085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59,946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37,896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$ 61,979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69,696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142,922</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176,330</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191,521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118,311</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129,939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113,459</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127,164</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121,251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95,471</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109,943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8.52</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7.09</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583</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481</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698</w:t>
            </w:r>
          </w:p>
        </w:tc>
      </w:tr>
    </w:tbl>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thousands except per share amounts and number of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Upon joining Digi in October 1999, I had the opportunity to spend the better part of the first 90 days on the road with our sales people and customers to understand Digi's position in the market and opportunities for growth. In the process it became clear that our business was in the midst of some fundamental challenges. The market for asynchronous serial connectivity products, a market Digi has led for many years, was experiencing continued erosion. The Y2K lockdown impact on our business was proving to be much more severe than originally expected. Simultaneously, development delays and a changing competitive landscape in the remote access market threatened Digi's ability to gain share. Finally, the local area network media conversion market, represented by our MiLAN products, was shifting to fiber connectivity as network hubs and switches increasingly became commodities.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Our mission for fiscal 2000 quickly became clear: Digi must rebuild to create a solid foundation for growth, refocus its efforts to reach growth markets, and, most importantly, execute crisply against our new objectives. We executed against these objectives in parallel throughout the year.</w:t>
      </w:r>
    </w:p>
    <w:p>
      <w:pPr>
        <w:spacing w:after="0" w:line="1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Joe Dunsmore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285" w:right="1440" w:bottom="1440" w:gutter="0" w:footer="0" w:header="0"/>
        </w:sectPr>
      </w:pPr>
    </w:p>
    <w:bookmarkStart w:id="71" w:name="page72"/>
    <w:bookmarkEnd w:id="71"/>
    <w:p>
      <w:pPr>
        <w:jc w:val="center"/>
        <w:ind w:right="961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Rebuild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identified leadership as an element critical to Digi's success, and quickly began to fill vacancies in the senior management team. Over the course of the year, we brought aboard new vice presidents of engineering (Joel Young), sales (Gregg Wilkes), marketing (Burk Murray) and European operations (Bruce Berger), each with significant experience in his field. In addition, we added critical horsepower to our sales and product management teams.</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 was elected Chairman of the Board after John Schinas' retirement, and want to acknowledge his tremendous contribution to Digi over the years.</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Early in the year we determined that we needed to build a dedicated sales team at our Sunnyvale operation to rebuild the revenue stream in that part of our business. The MiLAN team acted aggressively to fill out the roster, which resulted in three quarters of sequential growth to finish the year.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Research and development was restructured to improve performance in meeting development commitments and in creating innovative products. An influx of new engineers in the wireless communications and Microsoft Windows drivers areas has added to our skill set and revitalized existing talent. A platform development focus will help us reduce time-to-market on new products.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fourth fiscal quarter, after careful analysis, we undertook an aggressive restructuring designed to move our European operations to profitability. Our discontinuation of the NetBlazer Voice over Internet Protocol (VoIP) product line, for which we took a charge in our second fiscal quarter, allowed us to reallocate research and development resources to focus on our new strategy. The restructured European organization is now a sales and marketing hub, with a focus on asynchronous, terminal server, and Universal Serial Bus (USB) products, and MiLAN media conversion and fiber connectivity product lines sold through the existing two-tier distribution network. The restructuring includes the transition of all product development, technical support and manufacturing functions to Digi's corporate headquarters.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Measures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ind w:left="1120"/>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1st Quarter</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2nd Quarter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3rd Quarter</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4th Quarter</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$8.35</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$8.26</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$8.46</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$8.57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Tangible Book Value Per 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$4.18</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$4.34</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$4.91</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$5.35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Cash Per 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$0.27</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$0.77</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$1.75</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$2.34</w:t>
            </w:r>
          </w:p>
        </w:tc>
      </w:tr>
      <w:tr>
        <w:trPr>
          <w:trHeight w:val="331"/>
        </w:trPr>
        <w:tc>
          <w:tcPr>
            <w:tcW w:w="2640" w:type="dxa"/>
            <w:vAlign w:val="bottom"/>
          </w:tcPr>
          <w:p>
            <w:pPr>
              <w:ind w:left="1120"/>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1st Quarter</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2nd Quarter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3rd Quarter</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4th Quarter</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$8.37</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$7.66</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$7.75</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$7.45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Tangible Book Value Per 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$5.43</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$6.03</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$6.24</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$6.38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Cash Per 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$2.54</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$3.21</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$3.40</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$3.87</w:t>
            </w:r>
          </w:p>
        </w:tc>
      </w:tr>
    </w:tbl>
    <w:p>
      <w:pPr>
        <w:spacing w:after="0" w:line="33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During the past eight quarters, tangible book value increased 53%.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Refocus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April, after analyzing market forecasts, competitive intelligence, inputs from customers and technology trends, we created a strategic business and product plan to position Digi for market and technology leadership. Our most important objective was to identify Digi's opportunities to lead in markets with the potential for significant growth. The market for asynchronous serial cards had begun to erode, while demand was increasing for terminal server and USB connectivity products. In addition, new wireless networking technologies presented long-range opportunity to expand our markets. We established a new product roadmap and an action plan to better position the company to address these growth opportunities.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LAN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8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1st Quarter</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2nd Quarter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3rd Quarter</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4th Quarter</w:t>
            </w:r>
          </w:p>
        </w:tc>
      </w:tr>
      <w:tr>
        <w:trPr>
          <w:trHeight w:val="166"/>
        </w:trPr>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1999</w:t>
            </w:r>
          </w:p>
        </w:tc>
        <w:tc>
          <w:tcPr>
            <w:tcW w:w="186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9"/>
              </w:rPr>
              <w:t>$5.70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$3.60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$5.20</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$5.30</w:t>
            </w:r>
          </w:p>
        </w:tc>
      </w:tr>
      <w:tr>
        <w:trPr>
          <w:trHeight w:val="166"/>
        </w:trPr>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2000</w:t>
            </w:r>
          </w:p>
        </w:tc>
        <w:tc>
          <w:tcPr>
            <w:tcW w:w="186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9"/>
              </w:rPr>
              <w:t>$2.50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$3.00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$3.20</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$4.60</w:t>
            </w:r>
          </w:p>
        </w:tc>
      </w:tr>
    </w:tbl>
    <w:p>
      <w:pPr>
        <w:spacing w:after="0" w:line="170" w:lineRule="exact"/>
        <w:rPr>
          <w:sz w:val="20"/>
          <w:szCs w:val="20"/>
          <w:color w:val="auto"/>
        </w:rPr>
      </w:pPr>
    </w:p>
    <w:p>
      <w:pPr>
        <w:ind w:left="780" w:right="3339"/>
        <w:spacing w:after="0" w:line="255" w:lineRule="auto"/>
        <w:rPr>
          <w:sz w:val="20"/>
          <w:szCs w:val="20"/>
          <w:color w:val="auto"/>
        </w:rPr>
      </w:pPr>
      <w:r>
        <w:rPr>
          <w:rFonts w:ascii="Courier New" w:cs="Courier New" w:eastAsia="Courier New" w:hAnsi="Courier New"/>
          <w:sz w:val="14"/>
          <w:szCs w:val="14"/>
          <w:color w:val="auto"/>
        </w:rPr>
        <w:t>During the fourth quarter of 2000, LAN revenue grew 41% to 4.5 million, compared to the third fiscal quarter.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Inside/Out Edgeport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part of the action plan, we acquired Inside Out Networks, a leading developer of USB connectivity devices. These products, which are a key element of our strategy, fill a void in our product roadmap. The Austin, Texas, company has developed solid relationships with customers such as Agilent, Gateway, Harris, Hewlett-Packard, IBM, Lucent Technologies, Microsoft, Motorola, NCR, Siemens, Sun Microsystems and many others. The acquisition was concluded in early October, and complements Digi's strategic intent to provide the most comprehensive suite of local connectivity solutions to the market.</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Naming Doug Glader General Manager of Digi's MiLAN division was another of the actions in support of the new plan. Under Doug's leadership, MiLAN has refocused on fiber connectivity, a fast growing technology sector, and has begun to show results in landing large accounts.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Throughout the year, we have migrated from an internally focused culture to an externally focused, results oriented organization. The results can be seen across all of Digi, in our rejuvenated MiLAN division, on our redesigned website, in our new advertisements and, especially, in revenues for the second half of the year, which met or exceeded analyst expectations.</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With new management focus in sales, channel inventory and distributor return levels fell to historic lows as we began to manage the business more effectively. New regional managers have improved customer touch and created an organization dedicated to servicing Digi's VAR channel.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and Accounts Receivable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1st Quarter</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2nd Quarter</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3rd Quarter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4th Quarter</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$43.10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$35.30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$34.00</w:t>
            </w:r>
          </w:p>
        </w:tc>
      </w:tr>
      <w:tr>
        <w:trPr>
          <w:trHeight w:val="497"/>
        </w:trPr>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2000</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1st Quarter</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2nd Quarter</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3rd Quarter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4th Quarter</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$30.20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$18.20</w:t>
            </w:r>
          </w:p>
        </w:tc>
      </w:tr>
    </w:tbl>
    <w:p>
      <w:pPr>
        <w:spacing w:after="0" w:line="17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Channel inventory and distributor return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levels fell to historic 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7</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Going forward, we are committed to sequential revenue growth, and expect to reap the benefits of revitalized sales, marketing and development teams in creating and selling new products in high-growth markets.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Digi's existing products, channels, brand name recognition and technical expertise have differentiated us from competitors for more than a dozen years. With new technology and a new management team focused on execution, we are confident that Digi will lead new markets with far greater potential for growth.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Marketable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Quarter</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2nd Quarter</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3rd Quarter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4th Quarter</w:t>
            </w:r>
          </w:p>
        </w:tc>
      </w:tr>
      <w:tr>
        <w:trPr>
          <w:trHeight w:val="166"/>
        </w:trPr>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39.00</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$59.00</w:t>
            </w:r>
          </w:p>
        </w:tc>
      </w:tr>
    </w:tbl>
    <w:p>
      <w:pPr>
        <w:spacing w:after="0" w:line="170" w:lineRule="exact"/>
        <w:rPr>
          <w:sz w:val="20"/>
          <w:szCs w:val="20"/>
          <w:color w:val="auto"/>
        </w:rPr>
      </w:pPr>
    </w:p>
    <w:p>
      <w:pPr>
        <w:ind w:left="1120" w:right="3419"/>
        <w:spacing w:after="0" w:line="255" w:lineRule="auto"/>
        <w:rPr>
          <w:sz w:val="20"/>
          <w:szCs w:val="20"/>
          <w:color w:val="auto"/>
        </w:rPr>
      </w:pPr>
      <w:r>
        <w:rPr>
          <w:rFonts w:ascii="Courier New" w:cs="Courier New" w:eastAsia="Courier New" w:hAnsi="Courier New"/>
          <w:sz w:val="14"/>
          <w:szCs w:val="14"/>
          <w:color w:val="auto"/>
        </w:rPr>
        <w:t>With continued focus on asset management and expense control, Digi is strongly positioned to lead new high-growth markets.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T. Dunsmore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Mr. Dunsmore has been a member of the Board of Directors and President and Chief Executive Officer of the Company since October 1999. In May 2000 he was elected Chairman of the Board. Mr. Dunsmore has more than 17 years experience in the data communications and telecommunications industries and has held executive management positions in a number of companies, including AT&amp;T Paradyne, U.S. Robotics, 3Com and, most recently, Lucent Technologies, where he served as Vice President of Access Technologies in the Microelectronics Group.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E. Eichhorn (2) (3)</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Mr. Eichhorn has been a member of the Board of Directors since 1987. Since April 1992, Mr. Eichhorn has been a private investor.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E. Millard (2) (3)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Mr. Millard has been a member of the Board of Directors since October 1999. He has been the President and COO of Telular Corporation, a telecommunications company, since April 1996. Mr. Millard has held various executive management positions in the telecommunications industry and worked as an attorney for AT&amp;T and Wisconsin Bell. Mr. Millard continues to serve as a director of Telular and also serves as a director of two private corporations.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S. Moe (1) (2)</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Mr. Moe has been a member of the Board of Directors since October 1996. From 1981 to his retirement in 1993, he was the Chief Financial Officer of Polaris Industries, a manufacturer of snowmobiles, all-terrain vehicles and personal watercraft.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Mykola Moroz (1)</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Mr. Moroz has been a member of the Board of Directors since July 1991. Mr. Moroz was a founder of the Company and CEO from January 1992 to September 1994. Mr. Moroz was Chief Operating Officer of the Company from July 1991 to January 1992. From October 1985 to July 1991, he occupied various management positions with the Company. He is now a private consultant.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Stanley (1) (3)</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Mr. Stanley has been a member of the Board of Directors since 1990. Mr. Stanley is the retired Chairman and CEO of Payless Cashways, Inc., a building materials retailer.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Seedman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Mr. Seedman became a member of the Board of Directors in October 2000. Mr. Seedman founded Entrega Technologies, which he sold to Xircom in 1999. Prior to founding Entrega, he was Vice President of the Personal Communications Division at U.S. Robotics. Mr. Seedman was also founder and President of Practical Peripherals, which he grew to become a leading provider of data communications products, before selling the company to Hayes Microcomputer in 1989.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Tucker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Mr. Tucker became a member of the Board of Directors in October 2000. Mr. Tucker is currently Vice President of Global Business Development for Open Port Technology. Prior to joining Open Port, Mr. Tucker served as Director of Strategic Sales Initiatives for 3Com Corporation and Director of Sales for the Network Systems Division at U.S. Robotics. Mr. Tucker's career began with 18 years at IBM in sales and general management positions.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T. Dunsmore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 and Chairman of the Board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Douglas J. Glader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General Manager of MiLAN Technology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Subramanian Krishnan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 and Treasurer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Managing Director of European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 Burk Murray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Marketing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 Nyland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Manufacturing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 Popovich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Manager of Inside Out Networks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Gregory Wilkes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Americas Sales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Joel Young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Engineering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E. Nicholson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 Faegre &amp; Benson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Governance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majority of the Board's membership is comprised of non-employee directors.</w:t>
      </w:r>
    </w:p>
    <w:p>
      <w:pPr>
        <w:sectPr>
          <w:pgSz w:w="11900" w:h="16838" w:orient="portrait"/>
          <w:cols w:equalWidth="0" w:num="1">
            <w:col w:w="10239"/>
          </w:cols>
          <w:pgMar w:left="220" w:top="285" w:right="1440" w:bottom="0" w:gutter="0" w:footer="0" w:header="0"/>
        </w:sectPr>
      </w:pPr>
    </w:p>
    <w:bookmarkStart w:id="77" w:name="page78"/>
    <w:bookmarkEnd w:id="77"/>
    <w:p>
      <w:pPr>
        <w:ind w:right="3519"/>
        <w:spacing w:after="0" w:line="255" w:lineRule="auto"/>
        <w:rPr>
          <w:sz w:val="20"/>
          <w:szCs w:val="20"/>
          <w:color w:val="auto"/>
        </w:rPr>
      </w:pPr>
      <w:r>
        <w:rPr>
          <w:rFonts w:ascii="Courier New" w:cs="Courier New" w:eastAsia="Courier New" w:hAnsi="Courier New"/>
          <w:sz w:val="14"/>
          <w:szCs w:val="14"/>
          <w:color w:val="auto"/>
        </w:rPr>
        <w:t>The compensation, audit and corporate governance and nominating committees are comprised of all non-employee directors.</w:t>
      </w:r>
    </w:p>
    <w:p>
      <w:pPr>
        <w:spacing w:after="0" w:line="160" w:lineRule="exact"/>
        <w:rPr>
          <w:sz w:val="20"/>
          <w:szCs w:val="20"/>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Committee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Governance and Nominating Committee</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(C)2000 Digi International. All rights reserved. Digi, Digi International and the Digi logo are either the trademarks or registered trademarks of Digi International Inc. in the U.S. and other countries. All other brand or product names are the trademarks of their respective holders.</w:t>
      </w:r>
    </w:p>
    <w:p>
      <w:pPr>
        <w:sectPr>
          <w:pgSz w:w="11900" w:h="16838" w:orient="portrait"/>
          <w:cols w:equalWidth="0" w:num="1">
            <w:col w:w="10239"/>
          </w:cols>
          <w:pgMar w:left="220" w:top="141" w:right="1440" w:bottom="1440" w:gutter="0" w:footer="0" w:header="0"/>
        </w:sectPr>
      </w:pPr>
    </w:p>
    <w:bookmarkStart w:id="78" w:name="page79"/>
    <w:bookmarkEnd w:id="78"/>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and Investor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Listing</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Common Stock trades on the Nasdaq National Market tier of the Nasdaq Stock MarketSM under the symbol "DGII." On December 8, 2000, the number of holders of the Company's Common Stock was approximately 7,196, consisting of 257 record holders and approximately 6,939 stockholders whose stock is held by a bank, broker or other nominee.</w:t>
      </w:r>
    </w:p>
    <w:p>
      <w:pPr>
        <w:spacing w:after="0" w:line="16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High and low sale prices for each quarter during the years ended September 30, 2000 and 1999, as reported on the Nasdaq Stock Market,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Stock Prices</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first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second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third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fourth</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$17.75</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$15.13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$10.06</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$ 8.19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first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second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third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fourth</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$16.38</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$11.75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$ 8.56</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$ 6.25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$ 9.88</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Policy</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 has never paid cash dividends on its Common Stock. The Board of Directors presently intends to retain all earnings for use in the Company's business and does not anticipate paying cash dividends in the foreseeable future.</w:t>
      </w:r>
    </w:p>
    <w:p>
      <w:pPr>
        <w:spacing w:after="0" w:line="32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Company does not have a Dividend Reinvestment Plan or a Direct Stock Purchase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Minnesota,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Shareowners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64854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MN 55164-0854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651-450-4064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800-468-9716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Counsel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Faegre &amp; Benson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2200 Wells Fargo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 55402-3901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Public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650 Third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 55402-4333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Annual Meeting of Stockholders will be held on Wednesday, January 24, 2001, at 3:30 p.m., at the Marquette Hotel, 710 Marquette Avenue, Minneapolis, Minnesota.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Relations</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 copy of the Company's Form 10-K, filed with the Securities and Exchange Commission, is available free upon request. Contact: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11001 Bren Road 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Minnetonka, MN 55343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call 952-912-DIGI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request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ir@digi.com</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Corporate Office</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International Offices</w:t>
            </w:r>
          </w:p>
        </w:tc>
        <w:tc>
          <w:tcPr>
            <w:tcW w:w="274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Digi International Inc.</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Digi International GmbH</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Digi International Australia</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11001 Bren Road East</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Joseph-von-Fraunhofer n</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Pty. Ltd.</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Minnetonka, MN 55343</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Str. 23</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Unit 10, 10 Gladstone Street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TEL: 952-912-3444</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D-44227 Dortmund</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Castle Hill, NSW 2154</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FAX: 952-912-4991</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Germany</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Australia</w:t>
            </w:r>
          </w:p>
        </w:tc>
      </w:tr>
      <w:tr>
        <w:trPr>
          <w:trHeight w:val="166"/>
        </w:trPr>
        <w:tc>
          <w:tcPr>
            <w:tcW w:w="2340" w:type="dxa"/>
            <w:vAlign w:val="bottom"/>
          </w:tcPr>
          <w:p>
            <w:pPr>
              <w:spacing w:after="0"/>
              <w:rPr>
                <w:sz w:val="14"/>
                <w:szCs w:val="14"/>
                <w:color w:val="auto"/>
              </w:rPr>
            </w:pP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TEL: +49-231-97-47-0</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TEL: +61-2-9680-8944</w:t>
            </w:r>
          </w:p>
        </w:tc>
      </w:tr>
      <w:tr>
        <w:trPr>
          <w:trHeight w:val="166"/>
        </w:trPr>
        <w:tc>
          <w:tcPr>
            <w:tcW w:w="2340" w:type="dxa"/>
            <w:vAlign w:val="bottom"/>
          </w:tcPr>
          <w:p>
            <w:pPr>
              <w:spacing w:after="0"/>
              <w:rPr>
                <w:sz w:val="14"/>
                <w:szCs w:val="14"/>
                <w:color w:val="auto"/>
              </w:rPr>
            </w:pP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FAX: +49-231-97-47-111</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FAX: +61-2-9680-9178</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American Sales Office</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Digi International Sarl</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Digi International (HK) Limited</w:t>
            </w:r>
          </w:p>
        </w:tc>
      </w:tr>
      <w:tr>
        <w:trPr>
          <w:trHeight w:val="166"/>
        </w:trPr>
        <w:tc>
          <w:tcPr>
            <w:tcW w:w="2340" w:type="dxa"/>
            <w:vAlign w:val="bottom"/>
          </w:tcPr>
          <w:p>
            <w:pPr>
              <w:spacing w:after="0"/>
              <w:rPr>
                <w:sz w:val="14"/>
                <w:szCs w:val="14"/>
                <w:color w:val="auto"/>
              </w:rPr>
            </w:pP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2, rue de L'Eglise</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Suite 1101-02, 11/F</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Digi International Inc.</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92200 Neuilly sur Seine</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K Wah Centre</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11001 Bren Road East</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France</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191 Java Road</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Minnetonka, MN 55343</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TEL: +33-1-55-61-98-98</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North Point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TEL: 800-344-4273,</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FAX: +33-1-55-61-98-99</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Hong Kong</w:t>
            </w:r>
          </w:p>
        </w:tc>
      </w:tr>
      <w:tr>
        <w:trPr>
          <w:trHeight w:val="166"/>
        </w:trPr>
        <w:tc>
          <w:tcPr>
            <w:tcW w:w="2340" w:type="dxa"/>
            <w:vAlign w:val="bottom"/>
          </w:tcPr>
          <w:p>
            <w:pPr>
              <w:ind w:left="440"/>
              <w:spacing w:after="0"/>
              <w:rPr>
                <w:sz w:val="20"/>
                <w:szCs w:val="20"/>
                <w:color w:val="auto"/>
              </w:rPr>
            </w:pPr>
            <w:r>
              <w:rPr>
                <w:rFonts w:ascii="Courier New" w:cs="Courier New" w:eastAsia="Courier New" w:hAnsi="Courier New"/>
                <w:sz w:val="14"/>
                <w:szCs w:val="14"/>
                <w:color w:val="auto"/>
              </w:rPr>
              <w:t>952-912-3444</w:t>
            </w:r>
          </w:p>
        </w:tc>
        <w:tc>
          <w:tcPr>
            <w:tcW w:w="2760" w:type="dxa"/>
            <w:vAlign w:val="bottom"/>
          </w:tcPr>
          <w:p>
            <w:pPr>
              <w:spacing w:after="0"/>
              <w:rPr>
                <w:sz w:val="14"/>
                <w:szCs w:val="14"/>
                <w:color w:val="auto"/>
              </w:rPr>
            </w:pP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TEL: +852-2833-1008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FAX: 952-912-4952</w:t>
            </w:r>
          </w:p>
        </w:tc>
        <w:tc>
          <w:tcPr>
            <w:tcW w:w="2760" w:type="dxa"/>
            <w:vAlign w:val="bottom"/>
          </w:tcPr>
          <w:p>
            <w:pPr>
              <w:spacing w:after="0"/>
              <w:rPr>
                <w:sz w:val="14"/>
                <w:szCs w:val="14"/>
                <w:color w:val="auto"/>
              </w:rPr>
            </w:pP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FAX: +852-2572-9989</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MiLAN Technologies</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Digi International Denmark</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Digi International Asia Pte</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1299 Orleans Drive</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Hejreskovvej 18C,</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Ltd.</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Sunnyvale, CA 94089</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DK-3490 Kvistgaard, Denmark</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13-06 Tower `A', 391A Orchard</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TEL: 800-466-4526</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TEL: +45-49-17-70</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Road,</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FAX: 408-744-2793</w:t>
            </w:r>
          </w:p>
        </w:tc>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FAX: +45-49-17-70-91</w:t>
            </w: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Ngee Ann City, Singapore 238837</w:t>
            </w:r>
          </w:p>
        </w:tc>
      </w:tr>
      <w:tr>
        <w:trPr>
          <w:trHeight w:val="166"/>
        </w:trPr>
        <w:tc>
          <w:tcPr>
            <w:tcW w:w="2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TEL: +65-732-1318</w:t>
            </w:r>
          </w:p>
        </w:tc>
      </w:tr>
      <w:tr>
        <w:trPr>
          <w:trHeight w:val="166"/>
        </w:trPr>
        <w:tc>
          <w:tcPr>
            <w:tcW w:w="2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40" w:type="dxa"/>
            <w:vAlign w:val="bottom"/>
          </w:tcPr>
          <w:p>
            <w:pPr>
              <w:ind w:left="80"/>
              <w:spacing w:after="0"/>
              <w:rPr>
                <w:sz w:val="20"/>
                <w:szCs w:val="20"/>
                <w:color w:val="auto"/>
              </w:rPr>
            </w:pPr>
            <w:r>
              <w:rPr>
                <w:rFonts w:ascii="Courier New" w:cs="Courier New" w:eastAsia="Courier New" w:hAnsi="Courier New"/>
                <w:sz w:val="14"/>
                <w:szCs w:val="14"/>
                <w:color w:val="auto"/>
              </w:rPr>
              <w:t>FAX: +65-732-1312</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Inside Out Networks</w:t>
            </w:r>
          </w:p>
        </w:tc>
        <w:tc>
          <w:tcPr>
            <w:tcW w:w="276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80" w:orient="portrait"/>
          <w:cols w:equalWidth="0" w:num="1">
            <w:col w:w="10239"/>
          </w:cols>
          <w:pgMar w:left="220" w:top="285"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248 Addie Roy 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Bldg. B, Ste. 103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Austin, TX 78746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512-306-0600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512-306-0694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11001 Bren Road 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Minnetonka, MN 55343 TEL: 952-912-3444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952-912-4991 (central fax)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national market: dgii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 address: www.digi.com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address: info@digi.com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relations e-mail: ir@digi.com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(C)2000 Digi International Inc.</w:t>
      </w:r>
    </w:p>
    <w:p>
      <w:pPr>
        <w:sectPr>
          <w:pgSz w:w="11900" w:h="16838" w:orient="portrait"/>
          <w:cols w:equalWidth="0" w:num="1">
            <w:col w:w="10239"/>
          </w:cols>
          <w:pgMar w:left="220" w:top="141"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SUBSIDIARIES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Asia Pte Ltd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GmbH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FSC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(HK) Ltd.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Australia PTY Ltd.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Limited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 International SARL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ITK International, Inc.</w:t>
      </w:r>
    </w:p>
    <w:p>
      <w:pPr>
        <w:sectPr>
          <w:pgSz w:w="11900" w:h="16838" w:orient="portrait"/>
          <w:cols w:equalWidth="0" w:num="1">
            <w:col w:w="10239"/>
          </w:cols>
          <w:pgMar w:left="220" w:top="141"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September 30, 2000, 1999, and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200" w:lineRule="exact"/>
        <w:rPr>
          <w:sz w:val="20"/>
          <w:szCs w:val="20"/>
          <w:color w:val="auto"/>
        </w:rPr>
      </w:pPr>
    </w:p>
    <w:p>
      <w:pPr>
        <w:spacing w:after="0" w:line="304" w:lineRule="exact"/>
        <w:rPr>
          <w:sz w:val="20"/>
          <w:szCs w:val="20"/>
          <w:color w:val="auto"/>
        </w:rPr>
      </w:pPr>
    </w:p>
    <w:p>
      <w:pPr>
        <w:ind w:left="5700"/>
        <w:spacing w:after="0"/>
        <w:tabs>
          <w:tab w:leader="none" w:pos="6880" w:val="left"/>
          <w:tab w:leader="none" w:pos="105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5700"/>
        <w:spacing w:after="0"/>
        <w:tabs>
          <w:tab w:leader="none" w:pos="6880" w:val="left"/>
          <w:tab w:leader="none" w:pos="8080" w:val="left"/>
          <w:tab w:leader="none" w:pos="10580" w:val="left"/>
        </w:tabs>
        <w:rPr>
          <w:sz w:val="20"/>
          <w:szCs w:val="20"/>
          <w:color w:val="auto"/>
        </w:rPr>
      </w:pPr>
      <w:r>
        <w:rPr>
          <w:rFonts w:ascii="Courier New" w:cs="Courier New" w:eastAsia="Courier New" w:hAnsi="Courier New"/>
          <w:sz w:val="14"/>
          <w:szCs w:val="14"/>
          <w:color w:val="auto"/>
        </w:rPr>
        <w:t>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end of</w:t>
      </w:r>
    </w:p>
    <w:p>
      <w:pPr>
        <w:spacing w:after="0" w:line="7" w:lineRule="exact"/>
        <w:rPr>
          <w:sz w:val="20"/>
          <w:szCs w:val="20"/>
          <w:color w:val="auto"/>
        </w:rPr>
      </w:pPr>
    </w:p>
    <w:p>
      <w:pPr>
        <w:ind w:left="3200"/>
        <w:spacing w:after="0"/>
        <w:tabs>
          <w:tab w:leader="none" w:pos="5680" w:val="left"/>
          <w:tab w:leader="none" w:pos="6960" w:val="left"/>
          <w:tab w:leader="none" w:pos="7920" w:val="left"/>
          <w:tab w:leader="none" w:pos="9380" w:val="left"/>
          <w:tab w:leader="none" w:pos="1058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of period</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Other Accounts</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 30, 2000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Valuation account, product returns and doubtful accounts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$6,761</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$15,805</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$16,379 (1)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$6,187</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September 30, 1999</w:t>
            </w: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Valuation account, product returns and doubtful accounts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$7,651</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$13,105</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$13,995 (1)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$6,761</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September 30, 1998</w:t>
            </w: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Valuation account, product returns and doubtful accounts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$2,459</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$30,378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$25,186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$7,651</w:t>
            </w:r>
          </w:p>
        </w:tc>
      </w:tr>
      <w:tr>
        <w:trPr>
          <w:trHeight w:val="828"/>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September 30, 2000</w:t>
            </w: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Valuation account, inventory obsolescence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$4,539</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$1,633</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$2,098</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$4,074</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September 30, 1999</w:t>
            </w: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Valuation account, inventory obsolescence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3,107</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6,218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4,786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$4,539</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September 30, 1998</w:t>
            </w: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Valuation account, inventory obsolescence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2,193</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3,414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$3,107</w:t>
            </w:r>
          </w:p>
        </w:tc>
      </w:tr>
    </w:tbl>
    <w:p>
      <w:pPr>
        <w:spacing w:after="0" w:line="200" w:lineRule="exact"/>
        <w:rPr>
          <w:sz w:val="20"/>
          <w:szCs w:val="20"/>
          <w:color w:val="auto"/>
        </w:rPr>
      </w:pPr>
    </w:p>
    <w:p>
      <w:pPr>
        <w:spacing w:after="0" w:line="301" w:lineRule="exact"/>
        <w:rPr>
          <w:sz w:val="20"/>
          <w:szCs w:val="20"/>
          <w:color w:val="auto"/>
        </w:rPr>
      </w:pPr>
    </w:p>
    <w:p>
      <w:pPr>
        <w:ind w:left="440" w:right="4640" w:hanging="432"/>
        <w:spacing w:after="0" w:line="255"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against the allowance net of recoveries, and product returns charged against the allowance.</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Scrapped inventory charged against allowance.</w:t>
      </w:r>
    </w:p>
    <w:p>
      <w:pPr>
        <w:sectPr>
          <w:pgSz w:w="11900" w:h="16838" w:orient="portrait"/>
          <w:cols w:equalWidth="0" w:num="1">
            <w:col w:w="11540"/>
          </w:cols>
          <w:pgMar w:left="220" w:top="141" w:right="139"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(Nos. 33-32956, 33-38898, 333-99, 333-23857, 333-1821 and 333-57869) of Digi International Inc. of our report dated December 8, 2000 relating to the consolidated financial statements and financial statement schedule,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2000</w:t>
      </w:r>
    </w:p>
    <w:p>
      <w:pPr>
        <w:sectPr>
          <w:pgSz w:w="11900" w:h="16838" w:orient="portrait"/>
          <w:cols w:equalWidth="0" w:num="1">
            <w:col w:w="10239"/>
          </w:cols>
          <w:pgMar w:left="220" w:top="141"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Director and/or Officer</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hereunto set the undersigned's hand this 8th day of December, 2000.</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Richard E. Eichhorn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Richard E. Eichhorn</w:t>
      </w:r>
    </w:p>
    <w:p>
      <w:pPr>
        <w:sectPr>
          <w:pgSz w:w="11900" w:h="16838" w:orient="portrait"/>
          <w:cols w:equalWidth="0" w:num="1">
            <w:col w:w="10239"/>
          </w:cols>
          <w:pgMar w:left="220" w:top="141"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Director and/or Officer</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hereunto set the undersigned's hand this 7th day of December, 2000.</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Kenneth Millard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Kenneth Millard</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Director and/or Officer</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hereunto set the undersigned's hand this 8th day of December, 2000.</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Robert S. Moe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Robert S. Moe</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Director and/or Officer</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hereunto set the undersigned's hand this 11th day of December, 2000.</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Mykola Moroz</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Mykola Moroz</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Director and/or Officer</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hereunto set the undersigned's hand this 11th day of December, 2000.</w:t>
      </w:r>
    </w:p>
    <w:p>
      <w:pPr>
        <w:spacing w:after="0" w:line="200" w:lineRule="exact"/>
        <w:rPr>
          <w:sz w:val="20"/>
          <w:szCs w:val="20"/>
          <w:color w:val="auto"/>
        </w:rPr>
      </w:pPr>
    </w:p>
    <w:p>
      <w:pPr>
        <w:spacing w:after="0" w:line="291"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4"/>
          <w:szCs w:val="14"/>
          <w:color w:val="auto"/>
        </w:rPr>
        <w:t>/s/</w:t>
        <w:tab/>
        <w:t>Michael Seedman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Michael Seedman</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Director and/or Officer</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hereunto set the undersigned's hand this 8th day of December, 2000.</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David Stanley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David Stanley</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DIGI INTERNATIONAL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Director and/or Officer</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hereunto set the undersigned's hand this 8th day of December, 2000.</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James Tucker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James Tucker</w:t>
      </w:r>
    </w:p>
    <w:p>
      <w:pPr>
        <w:sectPr>
          <w:pgSz w:w="11900" w:h="16838" w:orient="portrait"/>
          <w:cols w:equalWidth="0" w:num="1">
            <w:col w:w="10239"/>
          </w:cols>
          <w:pgMar w:left="220" w:top="285"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SEP-30-2000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OCT-01-1999</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SEP-30-2000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38,785,936</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20,150,132</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18,175,226</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19,700,010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100,466,815</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54,683,780</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(30,275,396)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142,922,195</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22,381,596</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163,229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113,295,974</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142,922,195</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132,524,630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132,524,630</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62,871,689</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101,483,877</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(10,667,816)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(21,163,120)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(4,338,440)</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(16,824,680)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(16,824,680)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(1.12)</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(1.12)</w:t>
      </w:r>
    </w:p>
    <w:sectPr>
      <w:pgSz w:w="11900" w:h="16838" w:orient="portrait"/>
      <w:cols w:equalWidth="0" w:num="1">
        <w:col w:w="10139"/>
      </w:cols>
      <w:pgMar w:left="3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upperLetter"/>
      <w:start w:val="24"/>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Roman"/>
      <w:start w:val="1"/>
    </w:lvl>
  </w:abstractNum>
  <w:abstractNum w:abstractNumId="4">
    <w:nsid w:val="3F2DBA31"/>
    <w:multiLevelType w:val="hybridMultilevel"/>
    <w:lvl w:ilvl="0">
      <w:lvlJc w:val="left"/>
      <w:lvlText w:val="(%1)"/>
      <w:numFmt w:val="lowerRoman"/>
      <w:start w:val="3"/>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4"/>
    </w:lvl>
  </w:abstractNum>
  <w:abstractNum w:abstractNumId="13">
    <w:nsid w:val="2D1D5AE9"/>
    <w:multiLevelType w:val="hybridMultilevel"/>
    <w:lvl w:ilvl="0">
      <w:lvlJc w:val="left"/>
      <w:lvlText w:val="%1."/>
      <w:numFmt w:val="decimal"/>
      <w:start w:val="5"/>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lvl w:ilvl="1">
      <w:lvlJc w:val="left"/>
      <w:lvlText w:val="%2."/>
      <w:numFmt w:val="decimal"/>
      <w:start w:val="1"/>
    </w:lvl>
  </w:abstractNum>
  <w:abstractNum w:abstractNumId="18">
    <w:nsid w:val="4353D0CD"/>
    <w:multiLevelType w:val="hybridMultilevel"/>
    <w:lvl w:ilvl="0">
      <w:lvlJc w:val="left"/>
      <w:lvlText w:val="(%1)"/>
      <w:numFmt w:val="lowerLetter"/>
      <w:start w:val="3"/>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decimal"/>
      <w:start w:val="13"/>
    </w:lvl>
  </w:abstractNum>
  <w:abstractNum w:abstractNumId="21">
    <w:nsid w:val="54E49EB4"/>
    <w:multiLevelType w:val="hybridMultilevel"/>
    <w:lvl w:ilvl="0">
      <w:lvlJc w:val="left"/>
      <w:lvlText w:val="%1"/>
      <w:numFmt w:val="decimal"/>
      <w:start w:val="21"/>
    </w:lvl>
  </w:abstractNum>
  <w:abstractNum w:abstractNumId="22">
    <w:nsid w:val="71F32454"/>
    <w:multiLevelType w:val="hybridMultilevel"/>
    <w:lvl w:ilvl="0">
      <w:lvlJc w:val="left"/>
      <w:lvlText w:val="%1"/>
      <w:numFmt w:val="decimal"/>
      <w:start w:val="27"/>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4"/>
    </w:lvl>
  </w:abstractNum>
  <w:abstractNum w:abstractNumId="26">
    <w:nsid w:val="3A95F874"/>
    <w:multiLevelType w:val="hybridMultilevel"/>
    <w:lvl w:ilvl="0">
      <w:lvlJc w:val="left"/>
      <w:lvlText w:val="(%1)"/>
      <w:numFmt w:val="lowerRoman"/>
      <w:start w:val="4"/>
    </w:lvl>
  </w:abstractNum>
  <w:abstractNum w:abstractNumId="27">
    <w:nsid w:val="8138641"/>
    <w:multiLevelType w:val="hybridMultilevel"/>
    <w:lvl w:ilvl="0">
      <w:lvlJc w:val="left"/>
      <w:lvlText w:val="o"/>
      <w:numFmt w:val="bullet"/>
      <w:start w:val="1"/>
    </w:lvl>
  </w:abstractNum>
  <w:abstractNum w:abstractNumId="28">
    <w:nsid w:val="1E7FF521"/>
    <w:multiLevelType w:val="hybridMultilevel"/>
    <w:lvl w:ilvl="0">
      <w:lvlJc w:val="left"/>
      <w:lvlText w:val="o"/>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2019-12-13T18:28:16Z</dcterms:created>
  <dcterms:modified xsi:type="dcterms:W3CDTF">2019-12-13T18:28:16Z</dcterms:modified>
</cp:coreProperties>
</file>