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 (d)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 (d)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rPr>
        <w:t>.</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001-34033 </w:t>
      </w:r>
    </w:p>
    <w:p>
      <w:pPr>
        <w:pStyle w:val="TextBody"/>
        <w:bidi w:val="0"/>
        <w:spacing w:before="120" w:after="283"/>
        <w:jc w:val="center"/>
        <w:rPr/>
      </w:pPr>
      <w:r>
        <w:rPr/>
        <w:drawing>
          <wp:inline distT="0" distB="0" distL="0" distR="0">
            <wp:extent cx="1123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34290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DIGI INTERNATIONAL INC. </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677"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41-1532464</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bl>
    <w:tbl>
      <w:tblPr>
        <w:tblW w:w="4178" w:type="dxa"/>
        <w:jc w:val="left"/>
        <w:tblInd w:w="0" w:type="dxa"/>
        <w:tblLayout w:type="fixed"/>
        <w:tblCellMar>
          <w:top w:w="28" w:type="dxa"/>
          <w:left w:w="28" w:type="dxa"/>
          <w:bottom w:w="28" w:type="dxa"/>
          <w:right w:w="28" w:type="dxa"/>
        </w:tblCellMar>
      </w:tblPr>
      <w:tblGrid>
        <w:gridCol w:w="683"/>
        <w:gridCol w:w="599"/>
        <w:gridCol w:w="603"/>
        <w:gridCol w:w="344"/>
        <w:gridCol w:w="344"/>
        <w:gridCol w:w="349"/>
        <w:gridCol w:w="109"/>
        <w:gridCol w:w="109"/>
        <w:gridCol w:w="109"/>
        <w:gridCol w:w="272"/>
        <w:gridCol w:w="272"/>
        <w:gridCol w:w="385"/>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9350 Excelsior Blvd.</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Suite 700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Hopkins</w:t>
            </w:r>
          </w:p>
        </w:tc>
        <w:tc>
          <w:tcPr>
            <w:tcW w:w="1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55343</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(952) 912-3444 </w:t>
      </w:r>
    </w:p>
    <w:p>
      <w:pPr>
        <w:pStyle w:val="TextBody"/>
        <w:bidi w:val="0"/>
        <w:spacing w:lineRule="auto" w:line="288" w:before="2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(Registrant's telephone number, including area code)</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454"/>
        <w:gridCol w:w="454"/>
        <w:gridCol w:w="456"/>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DGII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2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12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20" w:after="120"/>
        <w:jc w:val="left"/>
        <w:rPr>
          <w:rFonts w:ascii="Times New Roman;sans-serif" w:hAnsi="Times New Roman;sans-serif"/>
          <w:b w:val="false"/>
          <w:color w:val="000000"/>
          <w:sz w:val="18"/>
        </w:rPr>
      </w:pPr>
      <w:r>
        <w:rPr>
          <w:rFonts w:ascii="Times New Roman;sans-serif" w:hAnsi="Times New Roman;sans-serif"/>
          <w:b w:val="false"/>
          <w:color w:val="000000"/>
          <w:sz w:val="18"/>
        </w:rPr>
        <w:t>On August 2, 2024, there were 36,415,184 shares of the registrant's $.01 par value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tbl>
      <w:tblPr>
        <w:tblW w:w="8641" w:type="dxa"/>
        <w:jc w:val="left"/>
        <w:tblInd w:w="0" w:type="dxa"/>
        <w:tblLayout w:type="fixed"/>
        <w:tblCellMar>
          <w:top w:w="28" w:type="dxa"/>
          <w:left w:w="28" w:type="dxa"/>
          <w:bottom w:w="28" w:type="dxa"/>
          <w:right w:w="28" w:type="dxa"/>
        </w:tblCellMar>
      </w:tblPr>
      <w:tblGrid>
        <w:gridCol w:w="2932"/>
        <w:gridCol w:w="2582"/>
        <w:gridCol w:w="2586"/>
        <w:gridCol w:w="158"/>
        <w:gridCol w:w="158"/>
        <w:gridCol w:w="225"/>
      </w:tblGrid>
      <w:tr>
        <w:trPr/>
        <w:tc>
          <w:tcPr>
            <w:tcW w:w="293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10">
              <w:r>
                <w:rPr>
                  <w:rStyle w:val="InternetLink"/>
                  <w:rFonts w:ascii="Times New Roman;sans-serif" w:hAnsi="Times New Roman;sans-serif"/>
                  <w:b w:val="false"/>
                  <w:color w:val="0000FF"/>
                  <w:sz w:val="20"/>
                  <w:u w:val="single"/>
                </w:rPr>
                <w:t>PART I. FINANCIAL INFORMATION</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13">
              <w:r>
                <w:rPr>
                  <w:rStyle w:val="InternetLink"/>
                  <w:rFonts w:ascii="Times New Roman;sans-serif" w:hAnsi="Times New Roman;sans-serif"/>
                  <w:b w:val="false"/>
                  <w:color w:val="0000FF"/>
                  <w:sz w:val="20"/>
                  <w:u w:val="single"/>
                </w:rPr>
                <w:t>ITEM 1. Unaudited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16">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16">
              <w:r>
                <w:rPr>
                  <w:rStyle w:val="InternetLink"/>
                  <w:rFonts w:ascii="Times New Roman;sans-serif" w:hAnsi="Times New Roman;sans-serif"/>
                  <w:b w:val="false"/>
                  <w:color w:val="0000FF"/>
                  <w:sz w:val="20"/>
                  <w:u w:val="single"/>
                </w:rPr>
                <w:t>1</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19">
              <w:r>
                <w:rPr>
                  <w:rStyle w:val="InternetLink"/>
                  <w:rFonts w:ascii="Times New Roman;sans-serif" w:hAnsi="Times New Roman;sans-serif"/>
                  <w:b w:val="false"/>
                  <w:color w:val="0000FF"/>
                  <w:sz w:val="20"/>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19">
              <w:r>
                <w:rPr>
                  <w:rStyle w:val="InternetLink"/>
                  <w:rFonts w:ascii="Times New Roman;sans-serif" w:hAnsi="Times New Roman;sans-serif"/>
                  <w:b w:val="false"/>
                  <w:color w:val="0000FF"/>
                  <w:sz w:val="20"/>
                  <w:u w:val="single"/>
                </w:rPr>
                <w:t>2</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22">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22">
              <w:r>
                <w:rPr>
                  <w:rStyle w:val="InternetLink"/>
                  <w:rFonts w:ascii="Times New Roman;sans-serif" w:hAnsi="Times New Roman;sans-serif"/>
                  <w:b w:val="false"/>
                  <w:color w:val="0000FF"/>
                  <w:sz w:val="20"/>
                  <w:u w:val="single"/>
                </w:rPr>
                <w:t>3</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25">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25">
              <w:r>
                <w:rPr>
                  <w:rStyle w:val="InternetLink"/>
                  <w:rFonts w:ascii="Times New Roman;sans-serif" w:hAnsi="Times New Roman;sans-serif"/>
                  <w:b w:val="false"/>
                  <w:color w:val="0000FF"/>
                  <w:sz w:val="20"/>
                  <w:u w:val="single"/>
                </w:rPr>
                <w:t>4</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28">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28">
              <w:r>
                <w:rPr>
                  <w:rStyle w:val="InternetLink"/>
                  <w:rFonts w:ascii="Times New Roman;sans-serif" w:hAnsi="Times New Roman;sans-serif"/>
                  <w:b w:val="false"/>
                  <w:color w:val="0000FF"/>
                  <w:sz w:val="20"/>
                  <w:u w:val="single"/>
                </w:rPr>
                <w:t>5</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31">
              <w:r>
                <w:rPr>
                  <w:rStyle w:val="InternetLink"/>
                  <w:rFonts w:ascii="Times New Roman;sans-serif" w:hAnsi="Times New Roman;sans-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31">
              <w:r>
                <w:rPr>
                  <w:rStyle w:val="InternetLink"/>
                  <w:rFonts w:ascii="Times New Roman;sans-serif" w:hAnsi="Times New Roman;sans-serif"/>
                  <w:b w:val="false"/>
                  <w:color w:val="0000FF"/>
                  <w:sz w:val="20"/>
                  <w:u w:val="single"/>
                </w:rPr>
                <w:t>6</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7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70">
              <w:r>
                <w:rPr>
                  <w:rStyle w:val="InternetLink"/>
                  <w:rFonts w:ascii="Times New Roman;sans-serif" w:hAnsi="Times New Roman;sans-serif"/>
                  <w:b w:val="false"/>
                  <w:color w:val="0000FF"/>
                  <w:sz w:val="20"/>
                  <w:u w:val="single"/>
                </w:rPr>
                <w:t>17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79">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79">
              <w:r>
                <w:rPr>
                  <w:rStyle w:val="InternetLink"/>
                  <w:rFonts w:ascii="Times New Roman;sans-serif" w:hAnsi="Times New Roman;sans-serif"/>
                  <w:b w:val="false"/>
                  <w:color w:val="0000FF"/>
                  <w:sz w:val="20"/>
                  <w:u w:val="single"/>
                </w:rPr>
                <w:t>25</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82">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82">
              <w:r>
                <w:rPr>
                  <w:rStyle w:val="InternetLink"/>
                  <w:rFonts w:ascii="Times New Roman;sans-serif" w:hAnsi="Times New Roman;sans-serif"/>
                  <w:b w:val="false"/>
                  <w:color w:val="0000FF"/>
                  <w:sz w:val="20"/>
                  <w:u w:val="single"/>
                </w:rPr>
                <w:t>26</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85">
              <w:r>
                <w:rPr>
                  <w:rStyle w:val="InternetLink"/>
                  <w:rFonts w:ascii="Times New Roman;sans-serif" w:hAnsi="Times New Roman;sans-serif"/>
                  <w:b w:val="false"/>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88">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88">
              <w:r>
                <w:rPr>
                  <w:rStyle w:val="InternetLink"/>
                  <w:rFonts w:ascii="Times New Roman;sans-serif" w:hAnsi="Times New Roman;sans-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91">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91">
              <w:r>
                <w:rPr>
                  <w:rStyle w:val="InternetLink"/>
                  <w:rFonts w:ascii="Times New Roman;sans-serif" w:hAnsi="Times New Roman;sans-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94">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94">
              <w:r>
                <w:rPr>
                  <w:rStyle w:val="InternetLink"/>
                  <w:rFonts w:ascii="Times New Roman;sans-serif" w:hAnsi="Times New Roman;sans-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97">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97">
              <w:r>
                <w:rPr>
                  <w:rStyle w:val="InternetLink"/>
                  <w:rFonts w:ascii="Times New Roman;sans-serif" w:hAnsi="Times New Roman;sans-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100">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100">
              <w:r>
                <w:rPr>
                  <w:rStyle w:val="InternetLink"/>
                  <w:rFonts w:ascii="Times New Roman;sans-serif" w:hAnsi="Times New Roman;sans-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103">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103">
              <w:r>
                <w:rPr>
                  <w:rStyle w:val="InternetLink"/>
                  <w:rFonts w:ascii="Times New Roman;sans-serif" w:hAnsi="Times New Roman;sans-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d24dd5b65c4ddca5ac106f16a4c738_106">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d24dd5b65c4ddca5ac106f16a4c738_106">
              <w:r>
                <w:rPr>
                  <w:rStyle w:val="InternetLink"/>
                  <w:rFonts w:ascii="Times New Roman;sans-serif" w:hAnsi="Times New Roman;sans-serif"/>
                  <w:b w:val="false"/>
                  <w:color w:val="0000FF"/>
                  <w:sz w:val="20"/>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UNAUDITED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590" w:type="dxa"/>
        <w:jc w:val="left"/>
        <w:tblInd w:w="0" w:type="dxa"/>
        <w:tblLayout w:type="fixed"/>
        <w:tblCellMar>
          <w:top w:w="28" w:type="dxa"/>
          <w:left w:w="28" w:type="dxa"/>
          <w:bottom w:w="28" w:type="dxa"/>
          <w:right w:w="28" w:type="dxa"/>
        </w:tblCellMar>
      </w:tblPr>
      <w:tblGrid>
        <w:gridCol w:w="932"/>
        <w:gridCol w:w="821"/>
        <w:gridCol w:w="827"/>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Nine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write off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36,838 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711" w:type="dxa"/>
        <w:jc w:val="center"/>
        <w:tblInd w:w="0" w:type="dxa"/>
        <w:tblLayout w:type="fixed"/>
        <w:tblCellMar>
          <w:top w:w="28" w:type="dxa"/>
          <w:left w:w="28" w:type="dxa"/>
          <w:bottom w:w="28" w:type="dxa"/>
          <w:right w:w="28" w:type="dxa"/>
        </w:tblCellMar>
      </w:tblPr>
      <w:tblGrid>
        <w:gridCol w:w="1056"/>
        <w:gridCol w:w="929"/>
        <w:gridCol w:w="939"/>
        <w:gridCol w:w="209"/>
        <w:gridCol w:w="594"/>
        <w:gridCol w:w="116"/>
        <w:gridCol w:w="116"/>
        <w:gridCol w:w="116"/>
        <w:gridCol w:w="116"/>
        <w:gridCol w:w="209"/>
        <w:gridCol w:w="594"/>
        <w:gridCol w:w="116"/>
        <w:gridCol w:w="109"/>
        <w:gridCol w:w="109"/>
        <w:gridCol w:w="109"/>
        <w:gridCol w:w="196"/>
        <w:gridCol w:w="646"/>
        <w:gridCol w:w="109"/>
        <w:gridCol w:w="109"/>
        <w:gridCol w:w="109"/>
        <w:gridCol w:w="109"/>
        <w:gridCol w:w="196"/>
        <w:gridCol w:w="646"/>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Nine months ended 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45"/>
        <w:gridCol w:w="2277"/>
        <w:gridCol w:w="2298"/>
        <w:gridCol w:w="208"/>
        <w:gridCol w:w="782"/>
        <w:gridCol w:w="115"/>
        <w:gridCol w:w="109"/>
        <w:gridCol w:w="109"/>
        <w:gridCol w:w="109"/>
        <w:gridCol w:w="279"/>
        <w:gridCol w:w="1051"/>
        <w:gridCol w:w="223"/>
      </w:tblGrid>
      <w:tr>
        <w:trPr/>
        <w:tc>
          <w:tcPr>
            <w:tcW w:w="264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r>
      <w:tr>
        <w:trPr/>
        <w:tc>
          <w:tcPr>
            <w:tcW w:w="7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55,997 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74,396 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166,198 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improvements,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277,084 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341,916 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835,531 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1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85,978 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295,043 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Commitments and Contingencies (See </w:t>
            </w:r>
            <w:hyperlink w:anchor="ided24dd5b65c4ddca5ac106f16a4c738_64">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$.01 par value; 2,000,000 shares authorized; none issued and outstanding</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$.01 par value; 60,000,000 shares authorized; 42,881,585 and 42,501,150 shares issued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403,735 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224,845 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6,474,271 and 6,436,204 shares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563,054 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540,488 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820,426 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835,531 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053" w:type="dxa"/>
        <w:jc w:val="left"/>
        <w:tblInd w:w="0" w:type="dxa"/>
        <w:tblLayout w:type="fixed"/>
        <w:tblCellMar>
          <w:top w:w="28" w:type="dxa"/>
          <w:left w:w="28" w:type="dxa"/>
          <w:bottom w:w="28" w:type="dxa"/>
          <w:right w:w="28" w:type="dxa"/>
        </w:tblCellMar>
      </w:tblPr>
      <w:tblGrid>
        <w:gridCol w:w="2455"/>
        <w:gridCol w:w="2158"/>
        <w:gridCol w:w="2166"/>
        <w:gridCol w:w="196"/>
        <w:gridCol w:w="646"/>
        <w:gridCol w:w="109"/>
        <w:gridCol w:w="109"/>
        <w:gridCol w:w="109"/>
        <w:gridCol w:w="109"/>
        <w:gridCol w:w="196"/>
        <w:gridCol w:w="646"/>
        <w:gridCol w:w="154"/>
      </w:tblGrid>
      <w:tr>
        <w:trPr/>
        <w:tc>
          <w:tcPr>
            <w:tcW w:w="245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Nine months ended June 30,</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of property, equipment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accrual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equipment, improvements and certain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equipment, improvements and certain other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plan transactions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 transactions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for net share settlement of share-based payment options and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schedule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inventory to property, equipment and improvements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equipment, improvements and certain other intangible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407" w:type="dxa"/>
        <w:jc w:val="center"/>
        <w:tblInd w:w="0" w:type="dxa"/>
        <w:tblLayout w:type="fixed"/>
        <w:tblCellMar>
          <w:top w:w="28" w:type="dxa"/>
          <w:left w:w="28" w:type="dxa"/>
          <w:bottom w:w="28" w:type="dxa"/>
          <w:right w:w="28" w:type="dxa"/>
        </w:tblCellMar>
      </w:tblPr>
      <w:tblGrid>
        <w:gridCol w:w="654"/>
        <w:gridCol w:w="258"/>
        <w:gridCol w:w="259"/>
        <w:gridCol w:w="109"/>
        <w:gridCol w:w="109"/>
        <w:gridCol w:w="109"/>
        <w:gridCol w:w="323"/>
        <w:gridCol w:w="323"/>
        <w:gridCol w:w="186"/>
        <w:gridCol w:w="109"/>
        <w:gridCol w:w="109"/>
        <w:gridCol w:w="109"/>
        <w:gridCol w:w="196"/>
        <w:gridCol w:w="421"/>
        <w:gridCol w:w="109"/>
        <w:gridCol w:w="109"/>
        <w:gridCol w:w="109"/>
        <w:gridCol w:w="109"/>
        <w:gridCol w:w="278"/>
        <w:gridCol w:w="278"/>
        <w:gridCol w:w="18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227"/>
        <w:gridCol w:w="831"/>
        <w:gridCol w:w="128"/>
        <w:gridCol w:w="109"/>
        <w:gridCol w:w="109"/>
        <w:gridCol w:w="109"/>
        <w:gridCol w:w="196"/>
        <w:gridCol w:w="736"/>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(24,587)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for net share settlement of share-based payment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for net share settlement of share-based payment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for net share settlement of share-based payment options and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for net share settlement of share-based payment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42,882 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563,054 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DIGI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BASIS OF PRESENTATION OF UNAUDITED INTERIM CONDENSED CONSOLIDATED FINANCIAL STATEMENTS AND SIGNIFICANT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200" w:after="283"/>
        <w:jc w:val="left"/>
        <w:rPr/>
      </w:pPr>
      <w:r>
        <w:rPr>
          <w:rFonts w:ascii="Times New Roman;sans-serif" w:hAnsi="Times New Roman;sans-serif"/>
          <w:b w:val="false"/>
          <w:color w:val="000000"/>
          <w:sz w:val="20"/>
        </w:rPr>
        <w:t xml:space="preserve">The unaudited condensed consolidated financial statements of Digi International Inc. ("we," "us," "our," "Digi" or "the Company") have been prepared in accordance with the rules and regulations of the U.S.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3">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September 30, 2023. We use the same accounting policies in preparing quarterly and annual financial statements. The quarterly results of operations are not necessarily indicative of the results to be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EARNINGS PER SHARE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numerators and denominators in the net income per common share calculations (in thousands, except per common share data):</w:t>
      </w:r>
    </w:p>
    <w:tbl>
      <w:tblPr>
        <w:tblW w:w="10205" w:type="dxa"/>
        <w:jc w:val="left"/>
        <w:tblInd w:w="0" w:type="dxa"/>
        <w:tblLayout w:type="fixed"/>
        <w:tblCellMar>
          <w:top w:w="28" w:type="dxa"/>
          <w:left w:w="28" w:type="dxa"/>
          <w:bottom w:w="28" w:type="dxa"/>
          <w:right w:w="28" w:type="dxa"/>
        </w:tblCellMar>
      </w:tblPr>
      <w:tblGrid>
        <w:gridCol w:w="1825"/>
        <w:gridCol w:w="1609"/>
        <w:gridCol w:w="1626"/>
        <w:gridCol w:w="226"/>
        <w:gridCol w:w="662"/>
        <w:gridCol w:w="116"/>
        <w:gridCol w:w="116"/>
        <w:gridCol w:w="116"/>
        <w:gridCol w:w="116"/>
        <w:gridCol w:w="226"/>
        <w:gridCol w:w="662"/>
        <w:gridCol w:w="116"/>
        <w:gridCol w:w="109"/>
        <w:gridCol w:w="109"/>
        <w:gridCol w:w="109"/>
        <w:gridCol w:w="211"/>
        <w:gridCol w:w="721"/>
        <w:gridCol w:w="109"/>
        <w:gridCol w:w="109"/>
        <w:gridCol w:w="109"/>
        <w:gridCol w:w="109"/>
        <w:gridCol w:w="211"/>
        <w:gridCol w:w="721"/>
        <w:gridCol w:w="162"/>
      </w:tblGrid>
      <w:tr>
        <w:trPr/>
        <w:tc>
          <w:tcPr>
            <w:tcW w:w="182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5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net income per common share — weighted average shares outstanding</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net income per common share — adjusted weighted average shares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diluted</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 excludes certain stock options and restricted stock unit awards that would have an anti-dilutive effect on our diluted net income per share calculation. For the three months ended June 30, 2024 and 2023, 646,564 and 599,957 shares outstanding were excluded, respectively. For the nine months ended June 30, 2024 and 2023, 710,370 and 477,521 shares outstanding were excluded,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SELECTED BALANCE SHEET DATA</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selected balance sheet data (in thousands):</w:t>
      </w:r>
    </w:p>
    <w:tbl>
      <w:tblPr>
        <w:tblW w:w="7668" w:type="dxa"/>
        <w:jc w:val="left"/>
        <w:tblInd w:w="0" w:type="dxa"/>
        <w:tblLayout w:type="fixed"/>
        <w:tblCellMar>
          <w:top w:w="28" w:type="dxa"/>
          <w:left w:w="28" w:type="dxa"/>
          <w:bottom w:w="28" w:type="dxa"/>
          <w:right w:w="28" w:type="dxa"/>
        </w:tblCellMar>
      </w:tblPr>
      <w:tblGrid>
        <w:gridCol w:w="1808"/>
        <w:gridCol w:w="1590"/>
        <w:gridCol w:w="1597"/>
        <w:gridCol w:w="211"/>
        <w:gridCol w:w="721"/>
        <w:gridCol w:w="109"/>
        <w:gridCol w:w="109"/>
        <w:gridCol w:w="109"/>
        <w:gridCol w:w="109"/>
        <w:gridCol w:w="253"/>
        <w:gridCol w:w="867"/>
        <w:gridCol w:w="185"/>
      </w:tblGrid>
      <w:tr>
        <w:trPr/>
        <w:tc>
          <w:tcPr>
            <w:tcW w:w="180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br/>
              <w:t>2023</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reserve for future credit returns and pricing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GOODWILL AND OTHER INTANGIBLE ASSETS,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 were (in thousands):</w:t>
      </w:r>
    </w:p>
    <w:tbl>
      <w:tblPr>
        <w:tblW w:w="10205" w:type="dxa"/>
        <w:jc w:val="left"/>
        <w:tblInd w:w="0" w:type="dxa"/>
        <w:tblLayout w:type="fixed"/>
        <w:tblCellMar>
          <w:top w:w="28" w:type="dxa"/>
          <w:left w:w="28" w:type="dxa"/>
          <w:bottom w:w="28" w:type="dxa"/>
          <w:right w:w="28" w:type="dxa"/>
        </w:tblCellMar>
      </w:tblPr>
      <w:tblGrid>
        <w:gridCol w:w="653"/>
        <w:gridCol w:w="465"/>
        <w:gridCol w:w="468"/>
        <w:gridCol w:w="211"/>
        <w:gridCol w:w="826"/>
        <w:gridCol w:w="109"/>
        <w:gridCol w:w="109"/>
        <w:gridCol w:w="109"/>
        <w:gridCol w:w="109"/>
        <w:gridCol w:w="211"/>
        <w:gridCol w:w="856"/>
        <w:gridCol w:w="109"/>
        <w:gridCol w:w="109"/>
        <w:gridCol w:w="109"/>
        <w:gridCol w:w="109"/>
        <w:gridCol w:w="211"/>
        <w:gridCol w:w="826"/>
        <w:gridCol w:w="109"/>
        <w:gridCol w:w="109"/>
        <w:gridCol w:w="109"/>
        <w:gridCol w:w="109"/>
        <w:gridCol w:w="211"/>
        <w:gridCol w:w="826"/>
        <w:gridCol w:w="109"/>
        <w:gridCol w:w="109"/>
        <w:gridCol w:w="109"/>
        <w:gridCol w:w="109"/>
        <w:gridCol w:w="211"/>
        <w:gridCol w:w="856"/>
        <w:gridCol w:w="109"/>
        <w:gridCol w:w="109"/>
        <w:gridCol w:w="109"/>
        <w:gridCol w:w="109"/>
        <w:gridCol w:w="211"/>
        <w:gridCol w:w="826"/>
        <w:gridCol w:w="157"/>
      </w:tblGrid>
      <w:tr>
        <w:trPr/>
        <w:tc>
          <w:tcPr>
            <w:tcW w:w="65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and core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277,084 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$6.1 million and $6.3 million for the three months ended June 30, 2024 and 2023, respectively. Amortization expense for intangible assets was $18.4 million and $19.0 million for the nine months ended June 30, 2024 and 2023, respectively. Amortization expense is recorded on our condensed consolidated statements of operations within cost of sales and in general and administrative expense.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related to intangible assets for the remainder of fiscal 2024 and the five succeeding fiscal years is (in thousands):</w:t>
      </w:r>
    </w:p>
    <w:tbl>
      <w:tblPr>
        <w:tblW w:w="2735" w:type="dxa"/>
        <w:jc w:val="left"/>
        <w:tblInd w:w="0" w:type="dxa"/>
        <w:tblLayout w:type="fixed"/>
        <w:tblCellMar>
          <w:top w:w="28" w:type="dxa"/>
          <w:left w:w="28" w:type="dxa"/>
          <w:bottom w:w="28" w:type="dxa"/>
          <w:right w:w="28" w:type="dxa"/>
        </w:tblCellMar>
      </w:tblPr>
      <w:tblGrid>
        <w:gridCol w:w="635"/>
        <w:gridCol w:w="557"/>
        <w:gridCol w:w="562"/>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(three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GOODWILL AND OTHER INTANGIBLE ASSETS, NET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reportable segments are (in thousands):</w:t>
      </w:r>
    </w:p>
    <w:tbl>
      <w:tblPr>
        <w:tblW w:w="8075" w:type="dxa"/>
        <w:jc w:val="left"/>
        <w:tblInd w:w="0" w:type="dxa"/>
        <w:tblLayout w:type="fixed"/>
        <w:tblCellMar>
          <w:top w:w="28" w:type="dxa"/>
          <w:left w:w="28" w:type="dxa"/>
          <w:bottom w:w="28" w:type="dxa"/>
          <w:right w:w="28" w:type="dxa"/>
        </w:tblCellMar>
      </w:tblPr>
      <w:tblGrid>
        <w:gridCol w:w="1215"/>
        <w:gridCol w:w="1070"/>
        <w:gridCol w:w="1074"/>
        <w:gridCol w:w="317"/>
        <w:gridCol w:w="1244"/>
        <w:gridCol w:w="164"/>
        <w:gridCol w:w="109"/>
        <w:gridCol w:w="109"/>
        <w:gridCol w:w="109"/>
        <w:gridCol w:w="211"/>
        <w:gridCol w:w="826"/>
        <w:gridCol w:w="109"/>
        <w:gridCol w:w="109"/>
        <w:gridCol w:w="109"/>
        <w:gridCol w:w="109"/>
        <w:gridCol w:w="211"/>
        <w:gridCol w:w="82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 2024</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IoT</w:t>
              <w:br/>
              <w:t>Products &amp;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IoT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September 30, 2023</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June 30, 2024</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have two reportable segments, IoT Products &amp; Services and IoT Solutions (see </w:t>
      </w:r>
      <w:hyperlink w:anchor="ided24dd5b65c4ddca5ac106f16a4c738_49">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Our IoT Products &amp; Services segment is structured to include four reporting units for goodwill testing purposes: Cellular Routers, Console Servers, OEM Solutions and Infrastructure Management. Following our acquisition of Ventus in November 2021, we have two reporting units within IoT Solutions: SmartSense and Ventus. Each of these reporting units was tested individually for impairment during our annual impairment test completed as of the end of the third fiscal quarter of fiscal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affect the estimated fair values negatively. 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our Fiscal 2024 Annual Impairment Test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 total of $32.7 million of goodwill for the Cellular Routers reporting unit, $57.1 million of goodwill for the Console Servers reporting unit, $64.2 million of goodwill for the OEM Solutions reporting unit, $20.4 million of goodwill for the Infrastructure Management reporting unit, $48.9 million of goodwill for the SmartSense reporting unit and $118.6 million of goodwill for the Ventus reporting unit. At June 30, 2024, the fair value of goodwill exceeded the carrying value for all six reporting units and no impairment was recorded. Ventus fair value exceeded carrying values by less than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INDEBTEDNESS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“Credit Facility”). The Credit Facility includes a $250 million senior secured revolving credit facility (the “Revolving Loan”), with an uncommitted accordion feature that provides for additional borrowing capacity of up to the greater of $95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 borrowed a total of $215 million under the Credit Facility to repay all obligations and to pay related fees and expenses under the Third Amended and Restated Credit Agreement dated as of December 22, 2021 (the “Prior Credit Facility”), by and among Digi, as the borrower, BMO, as administrative agent and collateral agent, BMO Capital Markets Corp., as sole lead arranger and bookrunner, and the other lenders from time-to-time party thereto. The Prior Credit Facility consisted of a $350 million term loan B secured loan and a $35 million revolving credit facility that included a $10 million letter of credit subfacility and $10 million swingline subfacility.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INDEBTEDNESS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1.75% to 2.75% for Term SOFR loans and 0.75% to 1.75% for base rate loans, depending on Digi’s total net leverage ratio. All borrowings in the period were made at Term SOFR for a one-month interest election period plus an applicable margin of 2.50%. Our weighted average interest rate for our Credit Facility was 7.93% as of June 30, 2024.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paying interest on the outstanding principal, Digi is required to pay a commitment fee on the unutilized commitments under the Credit Facility. The commitment fee is between 0.20% and 0.35% depending on Digi’s total net leverage ratio. Our weighted average Revolving Loan commitment fee was 0.25% as of June 30, 2024. The Credit Facility is secured by substantially all of the property of Digi and its domestic subsidiaries.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issuance costs and remaining balance under the Prior Credit Facility totaling $9.7 million at December 7, 2023 were written off and included in other expenses upon the entry into the Credit Agreement. Digi incurred an additional $1.3 million in debt issuance costs upon entry into the Credit Agreement, with this amount amortized over the term of the Credit Agreement and reported in interest expense.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Loan is due in a lump sum payment at maturity December 7, 2028, if any amounts are drawn. The fair value of the Revolving Loan approximated carrying value at June 30,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long-term indebtedness at June 30, 2024 and September 30, 2023 (in thousands):</w:t>
      </w:r>
    </w:p>
    <w:tbl>
      <w:tblPr>
        <w:tblW w:w="9204" w:type="dxa"/>
        <w:jc w:val="center"/>
        <w:tblInd w:w="0" w:type="dxa"/>
        <w:tblLayout w:type="fixed"/>
        <w:tblCellMar>
          <w:top w:w="28" w:type="dxa"/>
          <w:left w:w="28" w:type="dxa"/>
          <w:bottom w:w="28" w:type="dxa"/>
          <w:right w:w="28" w:type="dxa"/>
        </w:tblCellMar>
      </w:tblPr>
      <w:tblGrid>
        <w:gridCol w:w="1310"/>
        <w:gridCol w:w="1149"/>
        <w:gridCol w:w="1156"/>
        <w:gridCol w:w="109"/>
        <w:gridCol w:w="109"/>
        <w:gridCol w:w="109"/>
        <w:gridCol w:w="406"/>
        <w:gridCol w:w="1590"/>
        <w:gridCol w:w="209"/>
        <w:gridCol w:w="109"/>
        <w:gridCol w:w="109"/>
        <w:gridCol w:w="109"/>
        <w:gridCol w:w="483"/>
        <w:gridCol w:w="1894"/>
        <w:gridCol w:w="353"/>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on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on September 30, 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213,625 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213,625 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151,618 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188,051 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Covenants and Security Interest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 Amounts borrowed under the Credit Facility are secured by substantially all of our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 SEGMENT INFORMATION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fiscal 2024, we restructured our management structure to appoint a single segment manager over IoT Products &amp; Services and a single manager over IoT Solutions. As a result we have two operating segments. These two operating segments also serve as our reportable segments: IoT Products &amp; Services and IoT Solutions. Each operating segment is now led by a single segment manager. IoT Products &amp; Services derives revenue from the sale of products and services that help original equipment manufacturers ("OEMs"), enterprise and government customers create and deploy, secure IoT connectivity solutions. IoT Solutions derives revenue from the sale of software-based services that are enabled through the use of connected devices that utilize cellular communications.</w:t>
      </w:r>
    </w:p>
    <w:p>
      <w:pPr>
        <w:pStyle w:val="TextBody"/>
        <w:bidi w:val="0"/>
        <w:spacing w:lineRule="auto" w:line="264"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CEO is our Chief Operating Decision Maker ("CODM"). The measures the CODM uses to measure profitability within each of our reportable segments is segment gross profit.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operating results for each of our segments were (in thousands):</w:t>
      </w:r>
    </w:p>
    <w:tbl>
      <w:tblPr>
        <w:tblW w:w="10205" w:type="dxa"/>
        <w:jc w:val="center"/>
        <w:tblInd w:w="0" w:type="dxa"/>
        <w:tblLayout w:type="fixed"/>
        <w:tblCellMar>
          <w:top w:w="28" w:type="dxa"/>
          <w:left w:w="28" w:type="dxa"/>
          <w:bottom w:w="28" w:type="dxa"/>
          <w:right w:w="28" w:type="dxa"/>
        </w:tblCellMar>
      </w:tblPr>
      <w:tblGrid>
        <w:gridCol w:w="1542"/>
        <w:gridCol w:w="1356"/>
        <w:gridCol w:w="136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Operating Segments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 Operating Segments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 was (in thousands):</w:t>
      </w:r>
    </w:p>
    <w:tbl>
      <w:tblPr>
        <w:tblW w:w="8623" w:type="dxa"/>
        <w:jc w:val="center"/>
        <w:tblInd w:w="0" w:type="dxa"/>
        <w:tblLayout w:type="fixed"/>
        <w:tblCellMar>
          <w:top w:w="28" w:type="dxa"/>
          <w:left w:w="28" w:type="dxa"/>
          <w:bottom w:w="28" w:type="dxa"/>
          <w:right w:w="28" w:type="dxa"/>
        </w:tblCellMar>
      </w:tblPr>
      <w:tblGrid>
        <w:gridCol w:w="1103"/>
        <w:gridCol w:w="968"/>
        <w:gridCol w:w="974"/>
        <w:gridCol w:w="109"/>
        <w:gridCol w:w="109"/>
        <w:gridCol w:w="109"/>
        <w:gridCol w:w="237"/>
        <w:gridCol w:w="693"/>
        <w:gridCol w:w="122"/>
        <w:gridCol w:w="122"/>
        <w:gridCol w:w="122"/>
        <w:gridCol w:w="122"/>
        <w:gridCol w:w="237"/>
        <w:gridCol w:w="693"/>
        <w:gridCol w:w="122"/>
        <w:gridCol w:w="109"/>
        <w:gridCol w:w="109"/>
        <w:gridCol w:w="109"/>
        <w:gridCol w:w="211"/>
        <w:gridCol w:w="721"/>
        <w:gridCol w:w="109"/>
        <w:gridCol w:w="109"/>
        <w:gridCol w:w="109"/>
        <w:gridCol w:w="109"/>
        <w:gridCol w:w="211"/>
        <w:gridCol w:w="72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expended for property, plant and equipment was (in thousands):</w:t>
      </w:r>
    </w:p>
    <w:tbl>
      <w:tblPr>
        <w:tblW w:w="6935" w:type="dxa"/>
        <w:jc w:val="center"/>
        <w:tblInd w:w="0" w:type="dxa"/>
        <w:tblLayout w:type="fixed"/>
        <w:tblCellMar>
          <w:top w:w="28" w:type="dxa"/>
          <w:left w:w="28" w:type="dxa"/>
          <w:bottom w:w="28" w:type="dxa"/>
          <w:right w:w="28" w:type="dxa"/>
        </w:tblCellMar>
      </w:tblPr>
      <w:tblGrid>
        <w:gridCol w:w="1511"/>
        <w:gridCol w:w="1325"/>
        <w:gridCol w:w="1333"/>
        <w:gridCol w:w="109"/>
        <w:gridCol w:w="109"/>
        <w:gridCol w:w="109"/>
        <w:gridCol w:w="229"/>
        <w:gridCol w:w="671"/>
        <w:gridCol w:w="118"/>
        <w:gridCol w:w="118"/>
        <w:gridCol w:w="118"/>
        <w:gridCol w:w="118"/>
        <w:gridCol w:w="229"/>
        <w:gridCol w:w="671"/>
        <w:gridCol w:w="167"/>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expended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Excluded from these amounts are $8,354 and $3,175 of transfers of inventory to property plant and equipment for subscriber assets for the nine months ended June 30, 2024 and 2023, respectively.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for each of our segments were (in thousands):</w:t>
      </w:r>
    </w:p>
    <w:tbl>
      <w:tblPr>
        <w:tblW w:w="5174" w:type="dxa"/>
        <w:jc w:val="center"/>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826"/>
        <w:gridCol w:w="109"/>
        <w:gridCol w:w="109"/>
        <w:gridCol w:w="109"/>
        <w:gridCol w:w="109"/>
        <w:gridCol w:w="231"/>
        <w:gridCol w:w="905"/>
        <w:gridCol w:w="16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br/>
              <w:t>2023</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835,531 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*Unallocated consists of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 REVENUE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Disaggregation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by geographic location of our customers (in thousands):</w:t>
      </w:r>
    </w:p>
    <w:tbl>
      <w:tblPr>
        <w:tblW w:w="9179" w:type="dxa"/>
        <w:jc w:val="left"/>
        <w:tblInd w:w="0" w:type="dxa"/>
        <w:tblLayout w:type="fixed"/>
        <w:tblCellMar>
          <w:top w:w="28" w:type="dxa"/>
          <w:left w:w="28" w:type="dxa"/>
          <w:bottom w:w="28" w:type="dxa"/>
          <w:right w:w="28" w:type="dxa"/>
        </w:tblCellMar>
      </w:tblPr>
      <w:tblGrid>
        <w:gridCol w:w="1290"/>
        <w:gridCol w:w="1137"/>
        <w:gridCol w:w="114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primarily the 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&amp;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by the timing of revenue recognition (in thousands):</w:t>
      </w:r>
    </w:p>
    <w:tbl>
      <w:tblPr>
        <w:tblW w:w="8069" w:type="dxa"/>
        <w:jc w:val="left"/>
        <w:tblInd w:w="0" w:type="dxa"/>
        <w:tblLayout w:type="fixed"/>
        <w:tblCellMar>
          <w:top w:w="28" w:type="dxa"/>
          <w:left w:w="28" w:type="dxa"/>
          <w:bottom w:w="28" w:type="dxa"/>
          <w:right w:w="28" w:type="dxa"/>
        </w:tblCellMar>
      </w:tblPr>
      <w:tblGrid>
        <w:gridCol w:w="890"/>
        <w:gridCol w:w="783"/>
        <w:gridCol w:w="78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Related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$18.5 million and $16.6 million as of June 30, 2024 and September 30, 2023, respectively, are included in property, equipment and improvements, net. Depreciation expense for these subscriber assets, which is included in cost of sales, was $1.4 million and $1.0 million for the three months ended June 30, 2024 and 2023, respectively. Depreciation expense for these subscriber assets, which is included in cost of sales, was $3.5 million and $2.8 million for the nine months ended June 30, 2024 and 2023, respectively. We depreciate the cost of this equipment over its useful life.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Digi consist of products and services that have been fulfilled, but for which revenue has not yet been recognized. Our contract asset balances were immaterial as of June 30, 2024 and September 30, 2023.</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unearned revenue related to annual or multi-year contracts for subscription services and related implementation fees, as well as product sales that have been invoiced, but not yet fulfilled. The timing of revenue recognition may differ from the timing of invoicing to customers. Customers are invoiced for subscription services on a monthly, quarterly or annual basis.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 liabilities were $37.5 million and $26.5 million at June 30, 2024 and 2023,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contract liability balances of $38.0 million and $25.7 million as of March 31, 2024 and 2023, respectively. Of these balances, Digi recognized $7.7 million and $6.7 million as revenue in the three months ended June 30, 2024 and 2023, respectively. There were contract liability balances of $27.9 million and $21.6 million balances as of September 30, 2023 and 2022, respectively. Digi recognized $17.6 million and $18.9 million as revenue in the nine months ended June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REVENUE (CONTINUED)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Remaining Performance Obligation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approximately $161.2 million of remaining performance obligations on contracts with an original duration of one year or more. We expect to recognize revenue on approximately $72.1 million of remaining performance obligations over the next 12 months. We expect to recognize revenue from the remaining performance obligations over a range of two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 INCOME TAXES</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expense was $0.2 million for the nine months ended June 30, 2024. Included in this was a net tax benefit of $0.7 million discretely related to the nine months ended June 30, 2024. This liability was the result of book stock compensation in excess of recognized tax benefits.</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will vary based on a variety of factors. These factors include our overall profitability, the geographical mix of income before taxes and related statutory tax rate in each jurisdiction, and tax items discretely related to the period, such as tax impacts of stock compensation, as there are no open audits during the period. We may record other benefits or expenses in the future that are specific to a particular quarter such as expiration of statutes of limitation, the completion of tax audits, or legislation that is enacted in both U.S. and foreign jurisdictions.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beginning and ending amount of unrecognized tax benefits is (in thousands): </w:t>
      </w:r>
    </w:p>
    <w:tbl>
      <w:tblPr>
        <w:tblW w:w="5315" w:type="dxa"/>
        <w:jc w:val="left"/>
        <w:tblInd w:w="0" w:type="dxa"/>
        <w:tblLayout w:type="fixed"/>
        <w:tblCellMar>
          <w:top w:w="28" w:type="dxa"/>
          <w:left w:w="28" w:type="dxa"/>
          <w:bottom w:w="28" w:type="dxa"/>
          <w:right w:w="28" w:type="dxa"/>
        </w:tblCellMar>
      </w:tblPr>
      <w:tblGrid>
        <w:gridCol w:w="1571"/>
        <w:gridCol w:w="1378"/>
        <w:gridCol w:w="1385"/>
        <w:gridCol w:w="211"/>
        <w:gridCol w:w="61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 of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as of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amount of unrecognized tax benefits at June 30, 2024 that, if recognized, would affect our effective tax rate was $3.0 million, after considering the impact of interest and deferred benefit items. We expect that the total amount of unrecognized tax benefits will decrease by approximately $0.4 million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PRODUCT WARRANTY OBLIGATION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activity associated with the product warranty accrual (in thousands) and is included on our condensed consolidated balance sheets within other current liabilities:</w:t>
      </w:r>
    </w:p>
    <w:tbl>
      <w:tblPr>
        <w:tblW w:w="5156" w:type="dxa"/>
        <w:jc w:val="left"/>
        <w:tblInd w:w="0" w:type="dxa"/>
        <w:tblLayout w:type="fixed"/>
        <w:tblCellMar>
          <w:top w:w="28" w:type="dxa"/>
          <w:left w:w="28" w:type="dxa"/>
          <w:bottom w:w="28" w:type="dxa"/>
          <w:right w:w="28" w:type="dxa"/>
        </w:tblCellMar>
      </w:tblPr>
      <w:tblGrid>
        <w:gridCol w:w="956"/>
        <w:gridCol w:w="840"/>
        <w:gridCol w:w="843"/>
        <w:gridCol w:w="273"/>
        <w:gridCol w:w="604"/>
        <w:gridCol w:w="141"/>
        <w:gridCol w:w="141"/>
        <w:gridCol w:w="141"/>
        <w:gridCol w:w="141"/>
        <w:gridCol w:w="273"/>
        <w:gridCol w:w="604"/>
        <w:gridCol w:w="19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accrued</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made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accrued</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made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LEASES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supplemental balance sheet information related to our leases (in thousands):</w:t>
      </w:r>
    </w:p>
    <w:tbl>
      <w:tblPr>
        <w:tblW w:w="9499" w:type="dxa"/>
        <w:jc w:val="center"/>
        <w:tblInd w:w="0" w:type="dxa"/>
        <w:tblLayout w:type="fixed"/>
        <w:tblCellMar>
          <w:top w:w="28" w:type="dxa"/>
          <w:left w:w="28" w:type="dxa"/>
          <w:bottom w:w="28" w:type="dxa"/>
          <w:right w:w="28" w:type="dxa"/>
        </w:tblCellMar>
      </w:tblPr>
      <w:tblGrid>
        <w:gridCol w:w="661"/>
        <w:gridCol w:w="581"/>
        <w:gridCol w:w="587"/>
        <w:gridCol w:w="109"/>
        <w:gridCol w:w="109"/>
        <w:gridCol w:w="109"/>
        <w:gridCol w:w="1224"/>
        <w:gridCol w:w="1224"/>
        <w:gridCol w:w="1227"/>
        <w:gridCol w:w="109"/>
        <w:gridCol w:w="109"/>
        <w:gridCol w:w="109"/>
        <w:gridCol w:w="252"/>
        <w:gridCol w:w="862"/>
        <w:gridCol w:w="130"/>
        <w:gridCol w:w="109"/>
        <w:gridCol w:w="109"/>
        <w:gridCol w:w="109"/>
        <w:gridCol w:w="344"/>
        <w:gridCol w:w="1175"/>
        <w:gridCol w:w="251"/>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were the components of our lease cost which is recorded in both cost of goods sold and selling, general and administrative expense (in thousands):</w:t>
      </w:r>
    </w:p>
    <w:tbl>
      <w:tblPr>
        <w:tblW w:w="7035" w:type="dxa"/>
        <w:jc w:val="center"/>
        <w:tblInd w:w="0" w:type="dxa"/>
        <w:tblLayout w:type="fixed"/>
        <w:tblCellMar>
          <w:top w:w="28" w:type="dxa"/>
          <w:left w:w="28" w:type="dxa"/>
          <w:bottom w:w="28" w:type="dxa"/>
          <w:right w:w="28" w:type="dxa"/>
        </w:tblCellMar>
      </w:tblPr>
      <w:tblGrid>
        <w:gridCol w:w="651"/>
        <w:gridCol w:w="572"/>
        <w:gridCol w:w="576"/>
        <w:gridCol w:w="237"/>
        <w:gridCol w:w="693"/>
        <w:gridCol w:w="122"/>
        <w:gridCol w:w="122"/>
        <w:gridCol w:w="122"/>
        <w:gridCol w:w="122"/>
        <w:gridCol w:w="237"/>
        <w:gridCol w:w="693"/>
        <w:gridCol w:w="122"/>
        <w:gridCol w:w="109"/>
        <w:gridCol w:w="109"/>
        <w:gridCol w:w="109"/>
        <w:gridCol w:w="229"/>
        <w:gridCol w:w="671"/>
        <w:gridCol w:w="118"/>
        <w:gridCol w:w="118"/>
        <w:gridCol w:w="118"/>
        <w:gridCol w:w="118"/>
        <w:gridCol w:w="229"/>
        <w:gridCol w:w="671"/>
        <w:gridCol w:w="167"/>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weighted average remaining lease term of our operating leases was 6.0 years and the weighted average discount rate for these leases was 4.9%.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10. LEASES (CONTINUED)</w:t>
      </w:r>
    </w:p>
    <w:p>
      <w:pPr>
        <w:pStyle w:val="TextBody"/>
        <w:bidi w:val="0"/>
        <w:spacing w:lineRule="auto" w:line="288" w:before="20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cash flows for each of the first five years as well as all the remaining years to the operating lease liabilities recorded on the condensed consolidated balance sheet as of June 30, 2024 (in thousands):</w:t>
      </w:r>
    </w:p>
    <w:tbl>
      <w:tblPr>
        <w:tblW w:w="4922" w:type="dxa"/>
        <w:jc w:val="center"/>
        <w:tblInd w:w="0" w:type="dxa"/>
        <w:tblLayout w:type="fixed"/>
        <w:tblCellMar>
          <w:top w:w="28" w:type="dxa"/>
          <w:left w:w="28" w:type="dxa"/>
          <w:bottom w:w="28" w:type="dxa"/>
          <w:right w:w="28" w:type="dxa"/>
        </w:tblCellMar>
      </w:tblPr>
      <w:tblGrid>
        <w:gridCol w:w="1267"/>
        <w:gridCol w:w="1114"/>
        <w:gridCol w:w="1128"/>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 COMMITMENTS AND CONTINGENCIES</w:t>
      </w:r>
    </w:p>
    <w:p>
      <w:pPr>
        <w:pStyle w:val="TextBody"/>
        <w:bidi w:val="0"/>
        <w:spacing w:lineRule="auto" w:line="288" w:before="200" w:after="283"/>
        <w:jc w:val="left"/>
        <w:rPr/>
      </w:pPr>
      <w:r>
        <w:rPr>
          <w:rFonts w:ascii="Times New Roman;sans-serif" w:hAnsi="Times New Roman;sans-serif"/>
          <w:b w:val="false"/>
          <w:color w:val="000000"/>
          <w:sz w:val="20"/>
        </w:rPr>
        <w:t xml:space="preserve">We lease certain of our buildings and equipment under non-cancelable lease agreements. Please refer to </w:t>
      </w:r>
      <w:hyperlink w:anchor="ided24dd5b65c4ddca5ac106f16a4c738_61">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to our condensed consolidated financial statements for additional information.</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Data Logger Solutions, LLC ("Data Loggers") brought suit in Delaware Superior Court against us and our subsidiary Digi SmartSense, LLC on October 23, 2020. The suit alleges that Data Loggers has not been paid certain commissions it believes it is owed and will continue to be owed under a Reseller Agreement between Data Loggers and TempAlert. SmartSense is the successor of interest of TempAlert and terminated the Reseller Agreement in 2019. Data Loggers claims it is entitled to actual, speculative and punitive damages in connection with its allegations. In March 2024, a jury found Digi liable for breach of contract and awarded Data Loggers damages of approximately $11.6 million. Delaware law also entitles Data Loggers to interest on this award pursuant to a statutory calculation. Each party has filed post-trial motions with respect to the jury’s verdict and a hearing on these motions was held on June 28, 2024. Our motions seek to have the case retried or to remit the award of damages. The plaintiffs are seeking to expand the award of damages for attorney’s fees and additional interest. While these post-trial motions are pending, each party’s right to appeal is stayed and remains in place. Pursuant to ASC 450 we have accrued a $6.3 million liability with respect to this case. The accrual reflects a reasonable estimate of probable loss based on information currently available to us. The ultimate loss, if any, to Digi could be materially different from the amount we have accrued and we cannot predict or estimate the duration or ultimate outcome of this matter.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awards granted in the first fiscal quarter of 2024 and 2023 were granted under the Digi International Inc. 2021 Omnibus Incentive Plan (as amended and restated,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there were approximately 1,920,325 shares available for future grants under the 2021 Plan.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exercise of stock options was $1.3 million and $2.6 million for the nine months ended June 30, 2024 and 2023, respectively.</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nine months ended June 30, 2024 and 2023, our employees forfeited 112,827 shares and 97,171 shares, respectively, in order to satisfy withholding tax obligations of $2.8 million and $3.9 million, respectively.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$1.7 million for the nine months ended June 30, 2024 and 2023. Pursuant to the ESPP, 74,760 and 58,081 common shares were issued to employees during the nine months ended June 30, 2024 and 2023, respectively. Shares are issued under the ESPP from treasury stock. As of June 30, 2024, 395,467 common shares were available for future issuances under the ESPP.</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stock-based compensation expense that is included in the consolidated results of operations (in thousands):</w:t>
      </w:r>
    </w:p>
    <w:tbl>
      <w:tblPr>
        <w:tblW w:w="9196" w:type="dxa"/>
        <w:jc w:val="left"/>
        <w:tblInd w:w="0" w:type="dxa"/>
        <w:tblLayout w:type="fixed"/>
        <w:tblCellMar>
          <w:top w:w="28" w:type="dxa"/>
          <w:left w:w="28" w:type="dxa"/>
          <w:bottom w:w="28" w:type="dxa"/>
          <w:right w:w="28" w:type="dxa"/>
        </w:tblCellMar>
      </w:tblPr>
      <w:tblGrid>
        <w:gridCol w:w="1435"/>
        <w:gridCol w:w="1255"/>
        <w:gridCol w:w="1270"/>
        <w:gridCol w:w="237"/>
        <w:gridCol w:w="693"/>
        <w:gridCol w:w="122"/>
        <w:gridCol w:w="122"/>
        <w:gridCol w:w="122"/>
        <w:gridCol w:w="122"/>
        <w:gridCol w:w="237"/>
        <w:gridCol w:w="693"/>
        <w:gridCol w:w="122"/>
        <w:gridCol w:w="109"/>
        <w:gridCol w:w="109"/>
        <w:gridCol w:w="109"/>
        <w:gridCol w:w="229"/>
        <w:gridCol w:w="671"/>
        <w:gridCol w:w="118"/>
        <w:gridCol w:w="118"/>
        <w:gridCol w:w="118"/>
        <w:gridCol w:w="118"/>
        <w:gridCol w:w="229"/>
        <w:gridCol w:w="671"/>
        <w:gridCol w:w="167"/>
      </w:tblGrid>
      <w:tr>
        <w:trPr/>
        <w:tc>
          <w:tcPr>
            <w:tcW w:w="143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before income taxes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after income taxes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stock option activity (in thousands, except per common share amounts):</w:t>
      </w:r>
    </w:p>
    <w:tbl>
      <w:tblPr>
        <w:tblW w:w="10205" w:type="dxa"/>
        <w:jc w:val="left"/>
        <w:tblInd w:w="0" w:type="dxa"/>
        <w:tblLayout w:type="fixed"/>
        <w:tblCellMar>
          <w:top w:w="28" w:type="dxa"/>
          <w:left w:w="28" w:type="dxa"/>
          <w:bottom w:w="28" w:type="dxa"/>
          <w:right w:w="28" w:type="dxa"/>
        </w:tblCellMar>
      </w:tblPr>
      <w:tblGrid>
        <w:gridCol w:w="677"/>
        <w:gridCol w:w="552"/>
        <w:gridCol w:w="554"/>
        <w:gridCol w:w="109"/>
        <w:gridCol w:w="109"/>
        <w:gridCol w:w="109"/>
        <w:gridCol w:w="470"/>
        <w:gridCol w:w="470"/>
        <w:gridCol w:w="472"/>
        <w:gridCol w:w="109"/>
        <w:gridCol w:w="109"/>
        <w:gridCol w:w="109"/>
        <w:gridCol w:w="578"/>
        <w:gridCol w:w="578"/>
        <w:gridCol w:w="580"/>
        <w:gridCol w:w="109"/>
        <w:gridCol w:w="109"/>
        <w:gridCol w:w="109"/>
        <w:gridCol w:w="767"/>
        <w:gridCol w:w="767"/>
        <w:gridCol w:w="769"/>
        <w:gridCol w:w="109"/>
        <w:gridCol w:w="109"/>
        <w:gridCol w:w="109"/>
        <w:gridCol w:w="355"/>
        <w:gridCol w:w="1039"/>
        <w:gridCol w:w="269"/>
      </w:tblGrid>
      <w:tr>
        <w:trPr/>
        <w:tc>
          <w:tcPr>
            <w:tcW w:w="67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 (1)</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on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4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2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aggregate intrinsic value represents the total pre-tax intrinsic value, based on our closing stock price of $22.93 as of June 30, 2024, which would have been received by the option holders had all option holders exercised their options as of that date. </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 of an option is the amount by which the fair value of the underlying stock exceeds its exercise price. The total intrinsic value of all options exercised during the nine months ended June 30, 2024 and 2023 was $2.6 million and $4.1 million, respectively.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weighted average fair value, which was determined based upon the fair value of each option on the grant date utilizing the Black-Scholes option-pricing model and the related assumptions:</w:t>
      </w:r>
    </w:p>
    <w:tbl>
      <w:tblPr>
        <w:tblW w:w="7571" w:type="dxa"/>
        <w:jc w:val="center"/>
        <w:tblInd w:w="0" w:type="dxa"/>
        <w:tblLayout w:type="fixed"/>
        <w:tblCellMar>
          <w:top w:w="28" w:type="dxa"/>
          <w:left w:w="28" w:type="dxa"/>
          <w:bottom w:w="28" w:type="dxa"/>
          <w:right w:w="28" w:type="dxa"/>
        </w:tblCellMar>
      </w:tblPr>
      <w:tblGrid>
        <w:gridCol w:w="1500"/>
        <w:gridCol w:w="1315"/>
        <w:gridCol w:w="1324"/>
        <w:gridCol w:w="435"/>
        <w:gridCol w:w="435"/>
        <w:gridCol w:w="435"/>
        <w:gridCol w:w="259"/>
        <w:gridCol w:w="259"/>
        <w:gridCol w:w="259"/>
        <w:gridCol w:w="395"/>
        <w:gridCol w:w="395"/>
        <w:gridCol w:w="560"/>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per option grant date fair value</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$19.88</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for option grants: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4.48% - 4.68%</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3.50% - 3.98%</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 years</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 years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 - 47%</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total unrecognized compensation cost related to non-vested stock options was $3.5 million and the related weighted average period over which it is expected to be recognized is approximately 1.4 years.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Non-vested Stock Units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non-vested restricted stock units and performance stock units as of June 30, 2024 and changes during the nine months then ended (in thousands, except per common share amounts):</w:t>
      </w:r>
    </w:p>
    <w:tbl>
      <w:tblPr>
        <w:tblW w:w="10205" w:type="dxa"/>
        <w:jc w:val="center"/>
        <w:tblInd w:w="0" w:type="dxa"/>
        <w:tblLayout w:type="fixed"/>
        <w:tblCellMar>
          <w:top w:w="28" w:type="dxa"/>
          <w:left w:w="28" w:type="dxa"/>
          <w:bottom w:w="28" w:type="dxa"/>
          <w:right w:w="28" w:type="dxa"/>
        </w:tblCellMar>
      </w:tblPr>
      <w:tblGrid>
        <w:gridCol w:w="748"/>
        <w:gridCol w:w="656"/>
        <w:gridCol w:w="660"/>
        <w:gridCol w:w="409"/>
        <w:gridCol w:w="409"/>
        <w:gridCol w:w="410"/>
        <w:gridCol w:w="109"/>
        <w:gridCol w:w="109"/>
        <w:gridCol w:w="109"/>
        <w:gridCol w:w="524"/>
        <w:gridCol w:w="1531"/>
        <w:gridCol w:w="270"/>
        <w:gridCol w:w="109"/>
        <w:gridCol w:w="109"/>
        <w:gridCol w:w="109"/>
        <w:gridCol w:w="409"/>
        <w:gridCol w:w="409"/>
        <w:gridCol w:w="410"/>
        <w:gridCol w:w="109"/>
        <w:gridCol w:w="109"/>
        <w:gridCol w:w="109"/>
        <w:gridCol w:w="510"/>
        <w:gridCol w:w="1489"/>
        <w:gridCol w:w="380"/>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PSUs</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on September 30,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on June 30, 2024</w:t>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total unrecognized compensation cost related to non-vested restricted stock units and performance stock units was $20.0 million and $0.5 million, respectively. The related weighted average period over which these costs are expected to be recognized was approximately 1.9 years and 0.1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should be read in conjunction with our Annual Report on Form 10-K for the fiscal year ended September 30, 2023, as well as our subsequent reports on Form 10-Q and Form 8-K and any amendments to these reports.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SAFE HARBOR STATEMENT UNDER THE PRIVATE SECURITIES LITIGATION REFORM ACT OF 1995</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discussion contains forward-looking statements that are based on management’s current expectations and assumptions. These statements often can be identified by the use of forward-looking terminology such as "assume," "believe," "continue," "estimate," "expect," "intend," "may," "plan," "potential," "project," "should," or "will" or the negative thereof or other variations thereon or similar terminology. Among other items, these statements relate to expectations of the business environment in which Digi operates, projections of future performance, inventory levels, perceived marketplace opportunities, interest expense savings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policies of governments globally as well as present and ongoing concerns about a potential recession,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 risks related to cybersecurity, risks arising from the present wars in Ukraine and the Middle East,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2023, subsequent filings, as well as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our critical accounting estimates was provided in the Management's Discussion and Analysis of Financial Condition and Results of Operations section of our Annual Report on Form 10-K for the fiscal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business and mission-critical IoT connectivity products, services and solutions. Our business is comprised of two reporting segments: IoT Products &amp; Services and IoT Solutions.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2024, our key operating objectives include:</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continuing to transition to complete solutions with software and service offerings included with our products, as this drives Annualized Recurring Revenue ("ARR"), which provides more predictable and higher margin revenue;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delivering a higher level of customer service across our businesses.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utilize many financial, operational, and other metrics to evaluate our financial condition and financial performance. Below we highlight the metrics for the third quarter of fiscal 2024 that we feel are most important in these evaluations, with comparisons to the third quarter of fiscal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revenue was $105 million, a decrease of 6%.</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gross profit was $62 million, a decrease of 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Gross profit margin was 59.2%, an increase of 230 basis points.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Net income was $10 million, compared to net income of $7 million.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Net income per diluted share was $0.26, compared to $0.18.</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Adjusted net income and adjusted net income per share was $18.5 million, or $0.50 per diluted share, compared to $18.5 million, or $0.50 per diluted share.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Adjusted EBITDA was $25 million, or 23.5% of revenue, compared to $24 million or 21.7% of revenue.</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ARR was $113 million at quarter end, an increase of 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recent periods, we have experienced longer than expected sales cycles with respect to many contracts and projects of potential significance. We believe this is related to macroeconomic conditions and are uncertain as to when and to what degree sales cycles will return to more normal conditions, but expect this to adversely impact our results for at least the remainder of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information derived from our interim condensed consolidated statements of operations:</w:t>
      </w:r>
    </w:p>
    <w:tbl>
      <w:tblPr>
        <w:tblW w:w="1308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239"/>
        <w:gridCol w:w="242"/>
        <w:gridCol w:w="317"/>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239"/>
        <w:gridCol w:w="242"/>
        <w:gridCol w:w="3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incr.</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(decr.)</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means not meaningful</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SEGMENT</w:t>
      </w:r>
    </w:p>
    <w:tbl>
      <w:tblPr>
        <w:tblW w:w="12960" w:type="dxa"/>
        <w:jc w:val="center"/>
        <w:tblInd w:w="0" w:type="dxa"/>
        <w:tblLayout w:type="fixed"/>
        <w:tblCellMar>
          <w:top w:w="28" w:type="dxa"/>
          <w:left w:w="28" w:type="dxa"/>
          <w:bottom w:w="28" w:type="dxa"/>
          <w:right w:w="28" w:type="dxa"/>
        </w:tblCellMar>
      </w:tblPr>
      <w:tblGrid>
        <w:gridCol w:w="354"/>
        <w:gridCol w:w="258"/>
        <w:gridCol w:w="259"/>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195"/>
        <w:gridCol w:w="196"/>
        <w:gridCol w:w="317"/>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195"/>
        <w:gridCol w:w="196"/>
        <w:gridCol w:w="368"/>
      </w:tblGrid>
      <w:tr>
        <w:trPr/>
        <w:tc>
          <w:tcPr>
            <w:tcW w:w="3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incr.</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(decr.)</w:t>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Products &amp; Services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revenue decreased $7.4 million for the three months ended June 30, 2024, as compared to the same period in the prior fiscal year. The decrease consisted of a $7.9 million decline in one-time sales, with no material impact from pricing, partially offset by $0.5 million of recurring revenue growth.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revenue decreased $12.2 million for the nine months ended June 30, 2024, as compared to the same period in the prior fiscal year. The decrease consisted of a $15.1 million decline in product sales volume, with no material impact from pricing, partially offset by $2.9 million of service revenue growth.</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Solutions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 revenue increased $0.3 million for the three months ended June 30, 2024, as compared to the same period in the prior fiscal year. The increase consisted of a $1.7 million rise in recurring revenue, partially offset by a $0.8 million decrease in hardware sales and a $0.6 million decrease in one time services volume.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 revenue decreased $1.5 million for the nine months ended June 30, 2024, as compared to the same period in the prior fiscal year. The decrease consisted of a $2.9 million decline in one time services volume and a $1.9 million decrease in hardware sales offset by a $3.3 million increase in recurring 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was $113 million as of June 30, 2024, compared to $104 million as of June 30, 2023. IoT Products &amp; Services ARR was $23 million as of June 30, 2024, compared to $22 million as of June 30, 2023. This increase was due to growth in the subscription base across extended warranty offerings and remote management platforms. IoT Solutions ARR was $90 million as of June 30, 2024, compared to $82 million as of June 30, 2023, driven by growth in SmartSense.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AND GROSS PROFIT BY SEGMENT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our segments' cost of goods sold and gross profit as a percentage of their respective total revenue:</w:t>
      </w:r>
    </w:p>
    <w:tbl>
      <w:tblPr>
        <w:tblW w:w="10205" w:type="dxa"/>
        <w:jc w:val="center"/>
        <w:tblInd w:w="0" w:type="dxa"/>
        <w:tblLayout w:type="fixed"/>
        <w:tblCellMar>
          <w:top w:w="28" w:type="dxa"/>
          <w:left w:w="28" w:type="dxa"/>
          <w:bottom w:w="28" w:type="dxa"/>
          <w:right w:w="28" w:type="dxa"/>
        </w:tblCellMar>
      </w:tblPr>
      <w:tblGrid>
        <w:gridCol w:w="1436"/>
        <w:gridCol w:w="1257"/>
        <w:gridCol w:w="1262"/>
        <w:gridCol w:w="109"/>
        <w:gridCol w:w="109"/>
        <w:gridCol w:w="10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284"/>
        <w:gridCol w:w="281"/>
        <w:gridCol w:w="404"/>
      </w:tblGrid>
      <w:tr>
        <w:trPr/>
        <w:tc>
          <w:tcPr>
            <w:tcW w:w="14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point</w:t>
            </w:r>
          </w:p>
        </w:tc>
      </w:tr>
      <w:tr>
        <w:trPr/>
        <w:tc>
          <w:tcPr>
            <w:tcW w:w="3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 (decr.)</w:t>
            </w:r>
          </w:p>
        </w:tc>
      </w:tr>
      <w:tr>
        <w:trPr/>
        <w:tc>
          <w:tcPr>
            <w:tcW w:w="3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Operating Segments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 Operating Segments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tbl>
      <w:tblPr>
        <w:tblW w:w="10205" w:type="dxa"/>
        <w:jc w:val="center"/>
        <w:tblInd w:w="0" w:type="dxa"/>
        <w:tblLayout w:type="fixed"/>
        <w:tblCellMar>
          <w:top w:w="28" w:type="dxa"/>
          <w:left w:w="28" w:type="dxa"/>
          <w:bottom w:w="28" w:type="dxa"/>
          <w:right w:w="28" w:type="dxa"/>
        </w:tblCellMar>
      </w:tblPr>
      <w:tblGrid>
        <w:gridCol w:w="1370"/>
        <w:gridCol w:w="1196"/>
        <w:gridCol w:w="120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78"/>
        <w:gridCol w:w="274"/>
        <w:gridCol w:w="395"/>
      </w:tblGrid>
      <w:tr>
        <w:trPr/>
        <w:tc>
          <w:tcPr>
            <w:tcW w:w="137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point</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 (decr.)</w:t>
            </w:r>
          </w:p>
        </w:tc>
      </w:tr>
      <w:tr>
        <w:trPr/>
        <w:tc>
          <w:tcPr>
            <w:tcW w:w="3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Operating Segments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Solutions Operating Segments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Product &amp; Services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gross profit margin increased 30 basis points for the three months ended June 30, 2024 as compared to the same period in the prior fiscal year. This increase was driven by a reduction in inventory adjustments and reduced inflationary pressures.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IoT Products &amp; Services gross profit margin decreased 50 basis points for the nine months ended June 30, 2024 as compared to the same period in the prior fiscal year. This decrease was driven by decreased volume as well as changes in mix, partially offset by a reduction in inventory adjustments and reduced inflationary pressures.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IoT Solutions</w:t>
      </w:r>
    </w:p>
    <w:p>
      <w:pPr>
        <w:pStyle w:val="TextBody"/>
        <w:bidi w:val="0"/>
        <w:spacing w:lineRule="auto" w:line="26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IoT Solutions gross profit margin increased 770 basis points for the three months ended June 30, 2024 as compared to the same period in the prior fiscal year. This increase was the result of growth in higher margin ARR subscription revenues.</w:t>
      </w:r>
    </w:p>
    <w:p>
      <w:pPr>
        <w:pStyle w:val="TextBody"/>
        <w:bidi w:val="0"/>
        <w:spacing w:lineRule="auto" w:line="26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IoT Solutions gross profit margin increased 870 basis points for the nine months ended June 30, 2024 as compared to the same period in the prior fiscal year. This increase was the result of growth in higher margin ARR subscription revenues.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our operating expenses and operating expenses as a percentage of total revenue:</w:t>
      </w:r>
    </w:p>
    <w:tbl>
      <w:tblPr>
        <w:tblW w:w="13498" w:type="dxa"/>
        <w:jc w:val="left"/>
        <w:tblInd w:w="0" w:type="dxa"/>
        <w:tblLayout w:type="fixed"/>
        <w:tblCellMar>
          <w:top w:w="28" w:type="dxa"/>
          <w:left w:w="28" w:type="dxa"/>
          <w:bottom w:w="28" w:type="dxa"/>
          <w:right w:w="28" w:type="dxa"/>
        </w:tblCellMar>
      </w:tblPr>
      <w:tblGrid>
        <w:gridCol w:w="501"/>
        <w:gridCol w:w="229"/>
        <w:gridCol w:w="231"/>
        <w:gridCol w:w="109"/>
        <w:gridCol w:w="109"/>
        <w:gridCol w:w="109"/>
        <w:gridCol w:w="181"/>
        <w:gridCol w:w="541"/>
        <w:gridCol w:w="109"/>
        <w:gridCol w:w="109"/>
        <w:gridCol w:w="109"/>
        <w:gridCol w:w="109"/>
        <w:gridCol w:w="195"/>
        <w:gridCol w:w="196"/>
        <w:gridCol w:w="211"/>
        <w:gridCol w:w="109"/>
        <w:gridCol w:w="109"/>
        <w:gridCol w:w="109"/>
        <w:gridCol w:w="181"/>
        <w:gridCol w:w="541"/>
        <w:gridCol w:w="109"/>
        <w:gridCol w:w="109"/>
        <w:gridCol w:w="109"/>
        <w:gridCol w:w="109"/>
        <w:gridCol w:w="195"/>
        <w:gridCol w:w="196"/>
        <w:gridCol w:w="211"/>
        <w:gridCol w:w="109"/>
        <w:gridCol w:w="109"/>
        <w:gridCol w:w="109"/>
        <w:gridCol w:w="181"/>
        <w:gridCol w:w="481"/>
        <w:gridCol w:w="109"/>
        <w:gridCol w:w="109"/>
        <w:gridCol w:w="109"/>
        <w:gridCol w:w="109"/>
        <w:gridCol w:w="203"/>
        <w:gridCol w:w="203"/>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11"/>
        <w:gridCol w:w="327"/>
        <w:gridCol w:w="181"/>
        <w:gridCol w:w="466"/>
        <w:gridCol w:w="109"/>
        <w:gridCol w:w="327"/>
        <w:gridCol w:w="331"/>
        <w:gridCol w:w="256"/>
      </w:tblGrid>
      <w:tr>
        <w:trPr/>
        <w:tc>
          <w:tcPr>
            <w:tcW w:w="5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 million decrease in operating expenses for the three months ended June 30, 2024, as compared to the same period in the prior fiscal year was due to $1.0 million decreases in each of labor and non-labor expenses.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$0.9 million increase in operating expenses for the nine months ended June 30, 2024, as compared to the same period in the prior fiscal year was the result of a $6.3 million increase to litigation reserves partially offset by a $2.1 million gain on the sale of an intangible asset, a $2.3 decrease in non-labor expenses and a $1.0 million decrease in labor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our other expenses, net and other expenses, net as a percentage of total revenue:</w:t>
      </w:r>
    </w:p>
    <w:tbl>
      <w:tblPr>
        <w:tblW w:w="13153"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81"/>
        <w:gridCol w:w="481"/>
        <w:gridCol w:w="109"/>
        <w:gridCol w:w="109"/>
        <w:gridCol w:w="109"/>
        <w:gridCol w:w="109"/>
        <w:gridCol w:w="202"/>
        <w:gridCol w:w="204"/>
        <w:gridCol w:w="211"/>
        <w:gridCol w:w="109"/>
        <w:gridCol w:w="109"/>
        <w:gridCol w:w="109"/>
        <w:gridCol w:w="181"/>
        <w:gridCol w:w="481"/>
        <w:gridCol w:w="109"/>
        <w:gridCol w:w="109"/>
        <w:gridCol w:w="109"/>
        <w:gridCol w:w="109"/>
        <w:gridCol w:w="202"/>
        <w:gridCol w:w="204"/>
        <w:gridCol w:w="211"/>
        <w:gridCol w:w="109"/>
        <w:gridCol w:w="109"/>
        <w:gridCol w:w="109"/>
        <w:gridCol w:w="181"/>
        <w:gridCol w:w="466"/>
        <w:gridCol w:w="109"/>
        <w:gridCol w:w="109"/>
        <w:gridCol w:w="109"/>
        <w:gridCol w:w="109"/>
        <w:gridCol w:w="203"/>
        <w:gridCol w:w="203"/>
        <w:gridCol w:w="211"/>
        <w:gridCol w:w="109"/>
        <w:gridCol w:w="109"/>
        <w:gridCol w:w="109"/>
        <w:gridCol w:w="181"/>
        <w:gridCol w:w="556"/>
        <w:gridCol w:w="109"/>
        <w:gridCol w:w="109"/>
        <w:gridCol w:w="109"/>
        <w:gridCol w:w="109"/>
        <w:gridCol w:w="202"/>
        <w:gridCol w:w="204"/>
        <w:gridCol w:w="211"/>
        <w:gridCol w:w="109"/>
        <w:gridCol w:w="109"/>
        <w:gridCol w:w="109"/>
        <w:gridCol w:w="181"/>
        <w:gridCol w:w="556"/>
        <w:gridCol w:w="109"/>
        <w:gridCol w:w="109"/>
        <w:gridCol w:w="109"/>
        <w:gridCol w:w="109"/>
        <w:gridCol w:w="202"/>
        <w:gridCol w:w="204"/>
        <w:gridCol w:w="211"/>
        <w:gridCol w:w="327"/>
        <w:gridCol w:w="181"/>
        <w:gridCol w:w="481"/>
        <w:gridCol w:w="109"/>
        <w:gridCol w:w="327"/>
        <w:gridCol w:w="40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w:t>
              <w:br/>
              <w:t>(decr.)</w:t>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 issuance cost write 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NM</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NM</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means not meaningful</w:t>
      </w:r>
    </w:p>
    <w:p>
      <w:pPr>
        <w:pStyle w:val="TextBody"/>
        <w:bidi w:val="0"/>
        <w:spacing w:lineRule="auto" w:line="288" w:before="200" w:after="283"/>
        <w:jc w:val="left"/>
        <w:rPr/>
      </w:pPr>
      <w:r>
        <w:rPr>
          <w:rFonts w:ascii="Times New Roman;sans-serif" w:hAnsi="Times New Roman;sans-serif"/>
          <w:b w:val="false"/>
          <w:color w:val="000000"/>
          <w:sz w:val="20"/>
        </w:rPr>
        <w:t xml:space="preserve">Other expense, net, decreased $3.3 million for the three months ended June 30, 2024, as compared to the same period in the prior fiscal year. This decrease was driven by a reduction in interest expense due to a decrease in average debt outstanding and our effective interest rate. Other expense, net, increased $3.5 million for the nine months ended June 30, 2024, as compared to the same period in the prior fiscal year. This increase was driven by the $9.7 million debt issuance cost expense realized upon the extinguishment of our prior credit facility partially offset by a decrease in our average debt outstanding and our effective interest rate on debt (see </w:t>
      </w:r>
      <w:hyperlink w:anchor="ided24dd5b65c4ddca5ac106f16a4c738_46">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 xml:space="preserve">to the condensed consolidated financial statements for additional information).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p>
      <w:pPr>
        <w:pStyle w:val="TextBody"/>
        <w:bidi w:val="0"/>
        <w:spacing w:lineRule="auto" w:line="288" w:before="200" w:after="283"/>
        <w:jc w:val="left"/>
        <w:rPr/>
      </w:pPr>
      <w:r>
        <w:rPr>
          <w:rFonts w:ascii="Times New Roman;sans-serif" w:hAnsi="Times New Roman;sans-serif"/>
          <w:b w:val="false"/>
          <w:color w:val="000000"/>
          <w:sz w:val="20"/>
        </w:rPr>
        <w:t xml:space="preserve">See </w:t>
      </w:r>
      <w:hyperlink w:anchor="ided24dd5b65c4ddca5ac106f16a4c738_55">
        <w:r>
          <w:rPr>
            <w:rStyle w:val="InternetLink"/>
            <w:rFonts w:ascii="Times New Roman;sans-serif" w:hAnsi="Times New Roman;sans-serif"/>
            <w:b w:val="false"/>
            <w:color w:val="0000FF"/>
            <w:sz w:val="20"/>
            <w:u w:val="single"/>
          </w:rPr>
          <w:t>Note 8</w:t>
        </w:r>
      </w:hyperlink>
      <w:r>
        <w:rPr>
          <w:color w:val="000000"/>
        </w:rPr>
        <w:t xml:space="preserve"> </w:t>
      </w:r>
      <w:r>
        <w:rPr>
          <w:rFonts w:ascii="Times New Roman;sans-serif" w:hAnsi="Times New Roman;sans-serif"/>
          <w:b w:val="false"/>
          <w:color w:val="000000"/>
          <w:sz w:val="20"/>
        </w:rPr>
        <w:t>to the condensed consolidated financial statements for discussion of income taxes.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BUSINESS METRIC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our Fiscal 2024 Annual Impairment Test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 total of $32.7 million of goodwill for the Cellular Routers reporting unit, $57.1 million of goodwill for the Console Servers reporting unit, $64.2 million of goodwill for the OEM Solutions reporting unit, $20.4 million of goodwill for the Infrastructure Management reporting unit, $48.9 million of goodwill for the SmartSense reporting unit and $118.6 million of goodwill for the Ventus reporting unit. At June 30, 2024, the fair value of goodwill exceeded the carrying value for all six reporting units and no impairment was recorded. Ventus fair value exceeded carrying values by less than 10%.</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pStyle w:val="TextBody"/>
        <w:bidi w:val="0"/>
        <w:spacing w:lineRule="auto" w:line="288" w:before="200" w:after="283"/>
        <w:jc w:val="left"/>
        <w:rPr/>
      </w:pPr>
      <w:r>
        <w:rPr>
          <w:rFonts w:ascii="Times New Roman;sans-serif" w:hAnsi="Times New Roman;sans-serif"/>
          <w:b w:val="false"/>
          <w:color w:val="000000"/>
          <w:sz w:val="20"/>
        </w:rPr>
        <w:t xml:space="preserve">See </w:t>
      </w:r>
      <w:hyperlink w:anchor="ided24dd5b65c4ddca5ac106f16a4c738_43">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to the condensed consolidated financial statements for additional discussion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INFORMATION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includes adjusted net income, adjusted net income per diluted share and adjusted earnings before interest, taxes and amortization ("Adjusted EBITDA"), each of which is a non-GAAP financial measure.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 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are reconciliations from GAAP to non-GAAP information that we feel are important to our business:</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Reconciliation of Net Income to Adjusted EBITDA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1207" w:type="dxa"/>
        <w:jc w:val="left"/>
        <w:tblInd w:w="0" w:type="dxa"/>
        <w:tblLayout w:type="fixed"/>
        <w:tblCellMar>
          <w:top w:w="28" w:type="dxa"/>
          <w:left w:w="28" w:type="dxa"/>
          <w:bottom w:w="28" w:type="dxa"/>
          <w:right w:w="28" w:type="dxa"/>
        </w:tblCellMar>
      </w:tblPr>
      <w:tblGrid>
        <w:gridCol w:w="650"/>
        <w:gridCol w:w="215"/>
        <w:gridCol w:w="216"/>
        <w:gridCol w:w="196"/>
        <w:gridCol w:w="736"/>
        <w:gridCol w:w="109"/>
        <w:gridCol w:w="109"/>
        <w:gridCol w:w="109"/>
        <w:gridCol w:w="109"/>
        <w:gridCol w:w="278"/>
        <w:gridCol w:w="278"/>
        <w:gridCol w:w="349"/>
        <w:gridCol w:w="109"/>
        <w:gridCol w:w="109"/>
        <w:gridCol w:w="109"/>
        <w:gridCol w:w="196"/>
        <w:gridCol w:w="736"/>
        <w:gridCol w:w="109"/>
        <w:gridCol w:w="109"/>
        <w:gridCol w:w="109"/>
        <w:gridCol w:w="109"/>
        <w:gridCol w:w="278"/>
        <w:gridCol w:w="278"/>
        <w:gridCol w:w="349"/>
        <w:gridCol w:w="109"/>
        <w:gridCol w:w="109"/>
        <w:gridCol w:w="109"/>
        <w:gridCol w:w="196"/>
        <w:gridCol w:w="736"/>
        <w:gridCol w:w="109"/>
        <w:gridCol w:w="109"/>
        <w:gridCol w:w="109"/>
        <w:gridCol w:w="109"/>
        <w:gridCol w:w="278"/>
        <w:gridCol w:w="278"/>
        <w:gridCol w:w="349"/>
        <w:gridCol w:w="109"/>
        <w:gridCol w:w="109"/>
        <w:gridCol w:w="109"/>
        <w:gridCol w:w="196"/>
        <w:gridCol w:w="736"/>
        <w:gridCol w:w="109"/>
        <w:gridCol w:w="109"/>
        <w:gridCol w:w="109"/>
        <w:gridCol w:w="109"/>
        <w:gridCol w:w="278"/>
        <w:gridCol w:w="278"/>
        <w:gridCol w:w="402"/>
      </w:tblGrid>
      <w:tr>
        <w:trPr/>
        <w:tc>
          <w:tcPr>
            <w:tcW w:w="6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of total</w:t>
              <w:br/>
              <w:t>revenue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 write 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Litigation accrual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asset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charge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and Net Income per Diluted Share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Net Income and Adjusted Net Income per Diluted Share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bl>
      <w:tblPr>
        <w:tblW w:w="10333" w:type="dxa"/>
        <w:jc w:val="left"/>
        <w:tblInd w:w="0" w:type="dxa"/>
        <w:tblLayout w:type="fixed"/>
        <w:tblCellMar>
          <w:top w:w="28" w:type="dxa"/>
          <w:left w:w="28" w:type="dxa"/>
          <w:bottom w:w="28" w:type="dxa"/>
          <w:right w:w="28" w:type="dxa"/>
        </w:tblCellMar>
      </w:tblPr>
      <w:tblGrid>
        <w:gridCol w:w="708"/>
        <w:gridCol w:w="201"/>
        <w:gridCol w:w="202"/>
        <w:gridCol w:w="196"/>
        <w:gridCol w:w="646"/>
        <w:gridCol w:w="109"/>
        <w:gridCol w:w="109"/>
        <w:gridCol w:w="109"/>
        <w:gridCol w:w="109"/>
        <w:gridCol w:w="196"/>
        <w:gridCol w:w="466"/>
        <w:gridCol w:w="109"/>
        <w:gridCol w:w="109"/>
        <w:gridCol w:w="109"/>
        <w:gridCol w:w="109"/>
        <w:gridCol w:w="196"/>
        <w:gridCol w:w="646"/>
        <w:gridCol w:w="109"/>
        <w:gridCol w:w="109"/>
        <w:gridCol w:w="109"/>
        <w:gridCol w:w="109"/>
        <w:gridCol w:w="196"/>
        <w:gridCol w:w="466"/>
        <w:gridCol w:w="109"/>
        <w:gridCol w:w="109"/>
        <w:gridCol w:w="109"/>
        <w:gridCol w:w="109"/>
        <w:gridCol w:w="196"/>
        <w:gridCol w:w="646"/>
        <w:gridCol w:w="109"/>
        <w:gridCol w:w="109"/>
        <w:gridCol w:w="109"/>
        <w:gridCol w:w="109"/>
        <w:gridCol w:w="196"/>
        <w:gridCol w:w="466"/>
        <w:gridCol w:w="109"/>
        <w:gridCol w:w="109"/>
        <w:gridCol w:w="109"/>
        <w:gridCol w:w="109"/>
        <w:gridCol w:w="196"/>
        <w:gridCol w:w="646"/>
        <w:gridCol w:w="109"/>
        <w:gridCol w:w="109"/>
        <w:gridCol w:w="109"/>
        <w:gridCol w:w="109"/>
        <w:gridCol w:w="196"/>
        <w:gridCol w:w="466"/>
        <w:gridCol w:w="154"/>
      </w:tblGrid>
      <w:tr>
        <w:trPr/>
        <w:tc>
          <w:tcPr>
            <w:tcW w:w="7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and net income per diluted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non-operating expense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Litigation accrual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asset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charge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 write off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Tax effect from the above adjustments </w:t>
            </w:r>
            <w:r>
              <w:rPr>
                <w:rFonts w:ascii="Times New Roman;sans-serif" w:hAnsi="Times New Roman;sans-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Discrete tax expenses (benefits) </w:t>
            </w:r>
            <w:r>
              <w:rPr>
                <w:rFonts w:ascii="Times New Roman;sans-serif" w:hAnsi="Times New Roman;sans-serif"/>
                <w:b w:val="false"/>
                <w:color w:val="000000"/>
                <w:sz w:val="10"/>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Adjusted net income and adjusted net income per diluted share </w:t>
            </w:r>
            <w:r>
              <w:rPr>
                <w:rFonts w:ascii="Times New Roman;sans-serif" w:hAnsi="Times New Roman;sans-serif"/>
                <w:b w:val="false"/>
                <w:color w:val="000000"/>
                <w:sz w:val="10"/>
              </w:rPr>
              <w:t>(3)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weighted average common shares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36,838</w:t>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tax effect from the above adjustments assumes an estimated effective tax rate of 18.0% for fiscal 2024 and fiscal 2023 based on adjusted net income.</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 xml:space="preserve">(2)For the three and </w:t>
      </w:r>
      <w:r>
        <w:rPr>
          <w:rFonts w:ascii="Times New Roman;sans-serif" w:hAnsi="Times New Roman;sans-serif"/>
          <w:b w:val="false"/>
          <w:color w:val="000000"/>
          <w:sz w:val="20"/>
        </w:rPr>
        <w:t>nine</w:t>
      </w:r>
      <w:r>
        <w:rPr>
          <w:color w:val="000000"/>
        </w:rPr>
        <w:t xml:space="preserve"> </w:t>
      </w:r>
      <w:r>
        <w:rPr>
          <w:rFonts w:ascii="Times New Roman;sans-serif" w:hAnsi="Times New Roman;sans-serif"/>
          <w:b w:val="false"/>
          <w:color w:val="000000"/>
          <w:sz w:val="18"/>
        </w:rPr>
        <w:t>months ended June 30, 2024 and 2023, discrete tax expenses (benefits) are a result of changes in excess tax benefits recognized on stock compensation.</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(3)Adjusted net income per diluted share may not add due to the use of rounded numbers.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 </w:t>
      </w:r>
    </w:p>
    <w:p>
      <w:pPr>
        <w:pStyle w:val="TextBody"/>
        <w:bidi w:val="0"/>
        <w:spacing w:lineRule="auto" w:line="288" w:before="200" w:after="283"/>
        <w:jc w:val="left"/>
        <w:rPr/>
      </w:pPr>
      <w:r>
        <w:rPr>
          <w:rFonts w:ascii="Times New Roman;sans-serif" w:hAnsi="Times New Roman;sans-serif"/>
          <w:b w:val="false"/>
          <w:color w:val="000000"/>
          <w:sz w:val="20"/>
        </w:rPr>
        <w:t xml:space="preserve">On December 7, 2023, we entered into a credit agreement. The Credit Agreement provides Digi with a $250 million senior secured revolving credit facility, with an uncommitted accordion feature that provides for additional borrowing capacity of up to the greater of $95 million or one hundred percent of trailing twelve month adjusted earnings before interest, taxes, depreciation, and amortization. The Credit Facility also contains a $10 million letter of credit sublimit and $10 million swingline sub-facility. Digi used the proceeds to retire the remaining balance of the prior credit agreement and may use the proceeds in the future for general corporate purposes. For additional information regarding the terms of our Credit Facility, including the Revolving Loan and its subfacilities, see </w:t>
      </w:r>
      <w:hyperlink w:anchor="ided24dd5b65c4ddca5ac106f16a4c738_46">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 xml:space="preserve">to our condensed consolidated financial statements.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replaced our prior credit agreement that consisted of a $350 million term loan B secured loan and a $35 million revolving credit facility. The $35 million revolving credit facility included a $10 million letter of credit subfacility and $10 million swingline subfacility.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statements of cash flows for the nine months ended June 30, 2024 and 2023 are summarized as follows:</w:t>
      </w:r>
    </w:p>
    <w:tbl>
      <w:tblPr>
        <w:tblW w:w="7866" w:type="dxa"/>
        <w:jc w:val="center"/>
        <w:tblInd w:w="0" w:type="dxa"/>
        <w:tblLayout w:type="fixed"/>
        <w:tblCellMar>
          <w:top w:w="28" w:type="dxa"/>
          <w:left w:w="28" w:type="dxa"/>
          <w:bottom w:w="28" w:type="dxa"/>
          <w:right w:w="28" w:type="dxa"/>
        </w:tblCellMar>
      </w:tblPr>
      <w:tblGrid>
        <w:gridCol w:w="1838"/>
        <w:gridCol w:w="1619"/>
        <w:gridCol w:w="1628"/>
        <w:gridCol w:w="109"/>
        <w:gridCol w:w="109"/>
        <w:gridCol w:w="109"/>
        <w:gridCol w:w="211"/>
        <w:gridCol w:w="721"/>
        <w:gridCol w:w="109"/>
        <w:gridCol w:w="109"/>
        <w:gridCol w:w="109"/>
        <w:gridCol w:w="109"/>
        <w:gridCol w:w="211"/>
        <w:gridCol w:w="72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June 30,</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 increased $28.9 million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$0.2 million increase in net operating assets for the first nine months of fiscal 2024 compared to a $19.4 million increase in the first nine months of fiscal 2023,</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$9.7 million debt issuance cost write-off included in net income in the first nine months of fiscal 2024,</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$6.3 million litigation accrual included in net income in the first nine months of fiscal 2024</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 $3.0 million increase in deferred income tax benefit for the first nine months of fiscal 2024 compared to a $6.5 million increase in the first nine months of fiscal 2023.</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were partially offset by: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$7.8 million decrease in net income in the first nine months of fiscal 2024</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 $2.2 million increase in gains from the sale of assets in the first nine months of fiscal 2024.</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 decreased $4.8 million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$2.2 million increase in proceeds from the sale of property, equipment, improvements and certain other intangible assets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 $2.6 million decrease in purchases of property, equipment, improvements and certain other intangible assets.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financing activities increased $33.7 million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debt payments of $276.2 million in the first nine months of fiscal 2024, including $213.6 million to retire our prior credit facility, an early payment of $1.9 million against our prior credit facility and payments of $60.7 million against our new credit facility, compared to debt payments of $29.4 million in the first nine months of fiscal 2023</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 decrease in proceeds from stock option plan transactions.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were partially offset by: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net proceeds of $214.1 million from the issuance of a new credit facility,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a decrease in taxes paid for net share settlement of share-based payment options and awards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and an increase in proceeds from employee stock purchase plan transactions.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OBLIGATIONS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at June 30, 2024:</w:t>
      </w:r>
    </w:p>
    <w:tbl>
      <w:tblPr>
        <w:tblW w:w="8709" w:type="dxa"/>
        <w:jc w:val="center"/>
        <w:tblInd w:w="0" w:type="dxa"/>
        <w:tblLayout w:type="fixed"/>
        <w:tblCellMar>
          <w:top w:w="28" w:type="dxa"/>
          <w:left w:w="28" w:type="dxa"/>
          <w:bottom w:w="28" w:type="dxa"/>
          <w:right w:w="28" w:type="dxa"/>
        </w:tblCellMar>
      </w:tblPr>
      <w:tblGrid>
        <w:gridCol w:w="526"/>
        <w:gridCol w:w="463"/>
        <w:gridCol w:w="466"/>
        <w:gridCol w:w="109"/>
        <w:gridCol w:w="109"/>
        <w:gridCol w:w="109"/>
        <w:gridCol w:w="211"/>
        <w:gridCol w:w="826"/>
        <w:gridCol w:w="109"/>
        <w:gridCol w:w="109"/>
        <w:gridCol w:w="109"/>
        <w:gridCol w:w="109"/>
        <w:gridCol w:w="318"/>
        <w:gridCol w:w="928"/>
        <w:gridCol w:w="164"/>
        <w:gridCol w:w="109"/>
        <w:gridCol w:w="109"/>
        <w:gridCol w:w="109"/>
        <w:gridCol w:w="211"/>
        <w:gridCol w:w="616"/>
        <w:gridCol w:w="109"/>
        <w:gridCol w:w="109"/>
        <w:gridCol w:w="109"/>
        <w:gridCol w:w="109"/>
        <w:gridCol w:w="211"/>
        <w:gridCol w:w="826"/>
        <w:gridCol w:w="109"/>
        <w:gridCol w:w="109"/>
        <w:gridCol w:w="109"/>
        <w:gridCol w:w="109"/>
        <w:gridCol w:w="211"/>
        <w:gridCol w:w="616"/>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 due by fiscal period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leases included above primarily relate to office space. The table above does not include possible payments for uncertain tax positions. Our reserve for uncertain tax positions, including accrued interest and penalties, was $2.3 million as of June 30, 2024. Due to the nature of the underlying liabilities and the extended time often needed to resolve income tax uncertainties, we cannot make reliable estimates of the amount or timing of future cash payments that may be required to settle these liabilities. The table above also does not include those obligations for royalties under license agreements as these royalties are calculated based on future sales of licensed products and we cannot make reliable estimates of the amount of cash payments.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ACCOUNTING PRONOUNCEMENTS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ongoing market risk related to changes in interest rates and foreign currency exchange rates.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related to fluctuations in interest rates on amounts borrowed under the Credit Facility. As of June 30, 2024, we had $152.8 million outstanding under our Revolving Loan.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(1) BMO’s prime rate, (2) the rate determined by BMO to be the average rate of Federal funds in the secondary market plus 0.50%, or (3) one-month SOFR plus 1.00%. The applicable margin for loans under the Credit Facility is in a range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1.75 to 2.75% for Term SOFR loans and 0.75% to 1.75% for base rate loans, depending on Digi’s total net leverage ratio. The initial borrowings were made at Term SOFR for a one-month interest period plus an applicable margin of 2.50%. Our weighted average interest rate for our Credit Facility as of June 30, 2024 was 7.93%. </w:t>
      </w:r>
    </w:p>
    <w:p>
      <w:pPr>
        <w:pStyle w:val="TextBody"/>
        <w:bidi w:val="0"/>
        <w:spacing w:lineRule="auto" w:line="288" w:before="200" w:after="283"/>
        <w:jc w:val="left"/>
        <w:rPr/>
      </w:pPr>
      <w:r>
        <w:rPr>
          <w:rFonts w:ascii="Times New Roman;sans-serif" w:hAnsi="Times New Roman;sans-serif"/>
          <w:b w:val="false"/>
          <w:color w:val="000000"/>
          <w:sz w:val="20"/>
        </w:rPr>
        <w:t>Digi bases the interest period election described above on an assessment of the interest rate environment conducted on a monthly basis. Based on the balance sheet position for the Revolving Loan at June 30, 2024, the annualized effect of a 25 basis point change in interest rates would increase or decrease our interest expense by $0.4 million. For additional information, see </w:t>
      </w:r>
      <w:hyperlink w:anchor="ided24dd5b65c4ddca5ac106f16a4c738_46">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10% change in the average exchange rate for the Euro, British Pound, Australian Dollar and Canadian Dollar to the U.S. Dollar during the first nine months of fiscal 2024 would have resulted in a 1.4% increase or decrease in stockholders' equity due to foreign currency translation.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EVALUATION OF DISCLOSURE CONTROLS AND PROCEDURES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the nine months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jc w:val="left"/>
        <w:rPr/>
      </w:pPr>
      <w:r>
        <w:rPr>
          <w:rFonts w:ascii="Times New Roman;sans-serif" w:hAnsi="Times New Roman;sans-serif"/>
          <w:b w:val="false"/>
          <w:color w:val="000000"/>
          <w:sz w:val="20"/>
        </w:rPr>
        <w:t xml:space="preserve">The disclosure set forth in </w:t>
      </w:r>
      <w:hyperlink w:anchor="ided24dd5b65c4ddca5ac106f16a4c738_64">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to the condensed consolidated financial statements in Part I, Item 1 of this Form 10-Q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in our risk factors from those previously disclosed in Item 1A of Part I of our Annual Report on Form 10-K for the year ended September 30,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products are subject to various cybersecurity risks. These risks are particularly acute in cloud-based technologies that we and other third parties operate that form a part of our solutions or that we rely on to conduct our operations. These risks may increase our costs and could damage our brand and reputation.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direct a substantial portion of our sales and development efforts toward broader based solutions, such as SmartSense by Digi, the Digi Remote Manager and Ventus offerings, we expect to store, convey and potentially process significant amounts of data produced by devices. We have completed a number of acquisitions in recent years and have inherited a range of different systems that store, convey and potentially process data and in some cases we may be delayed or choose not to integrate these systems into similar systems used in other parts of our business. Many of the business applications that we rely upon to operate our business now exist within cloud platforms that are managed by third parties. Further, as our products and solutions are used by customers across a broad range of industries, some of our customers may be subject to heightened risk of being targeted for cyber security incidents due to the nature of their businesses and operations. These factors may add to the risk of breach by third parties.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 cyberattack or other security incident were to allow unauthorized access to or modification of our customers’ data or our own data, whether due to a failure with our systems or related systems operated by third parties, we could suffer damage to our brand and reputation. This data may include confidential or proprietary information, intellectual property or personally identifiable information of our customers or other third parties with whom they do business. It is important for us to maintain solutions and related infrastructure that are perceived by our customers and other parties with whom we do business as providing reasonable levels of reliability and security. Despite available security measures and other precautions, the infrastructure and transmission methods used by our products and services or otherwise associated with our operations may be vulnerable to interception, attack or other disruptive problems. Continued high-profile data breaches at other companies evidence an external environment that is becoming increasingly hostile to information security. Improper disclosure of data or a perception that our data security is insufficient could harm our reputation, give rise to legal proceedings or subject our company to liability under laws that protect data, which may evolve and expand in scope over time. Any of these factors could result in increased costs and loss of revenue for us.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costs we would incur to address and fix these incidents could significantly increase our expenses. These types of security incidents could also lead to lawsuits, regulatory investigations and increased legal liability, including in some cases contractual costs related to customer notification and fraud monitoring. Further, as the regulatory focus on privacy and data security issues continues to increase and worldwide laws and regulations concerning the protection of information continue to become more complex, the potential risks and costs of compliance to our business are expected to intensify.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operate and often are used in conjunction with third party products and components across a broad ecosystem. If there is a security vulnerability any of our products or any of these third party products or components, and if there is a security exploit targeting them, we could face increased costs, reduced revenue, liability claims or damage to our reputation or competitive position.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cybersecurity is an issue that is becoming increasingly regulated. As regulations take effect or evolve, it is possible we may be unable to fully comply with these regulations. which could result in material adverse effects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information with respect to purchases made by or on behalf of Digi International Inc. or any "affiliated purchaser" (as defined in Rule 10b-18(a)(3) under the Securities Exchange Act of 1934), of our common stock during the third quarter of fiscal 2024:</w:t>
      </w:r>
    </w:p>
    <w:tbl>
      <w:tblPr>
        <w:tblW w:w="10205" w:type="dxa"/>
        <w:jc w:val="left"/>
        <w:tblInd w:w="0" w:type="dxa"/>
        <w:tblLayout w:type="fixed"/>
        <w:tblCellMar>
          <w:top w:w="28" w:type="dxa"/>
          <w:left w:w="28" w:type="dxa"/>
          <w:bottom w:w="28" w:type="dxa"/>
          <w:right w:w="28" w:type="dxa"/>
        </w:tblCellMar>
      </w:tblPr>
      <w:tblGrid>
        <w:gridCol w:w="414"/>
        <w:gridCol w:w="362"/>
        <w:gridCol w:w="366"/>
        <w:gridCol w:w="109"/>
        <w:gridCol w:w="109"/>
        <w:gridCol w:w="109"/>
        <w:gridCol w:w="506"/>
        <w:gridCol w:w="506"/>
        <w:gridCol w:w="508"/>
        <w:gridCol w:w="109"/>
        <w:gridCol w:w="109"/>
        <w:gridCol w:w="109"/>
        <w:gridCol w:w="299"/>
        <w:gridCol w:w="875"/>
        <w:gridCol w:w="154"/>
        <w:gridCol w:w="109"/>
        <w:gridCol w:w="109"/>
        <w:gridCol w:w="109"/>
        <w:gridCol w:w="805"/>
        <w:gridCol w:w="805"/>
        <w:gridCol w:w="807"/>
        <w:gridCol w:w="109"/>
        <w:gridCol w:w="109"/>
        <w:gridCol w:w="109"/>
        <w:gridCol w:w="679"/>
        <w:gridCol w:w="1306"/>
        <w:gridCol w:w="505"/>
      </w:tblGrid>
      <w:tr>
        <w:trPr/>
        <w:tc>
          <w:tcPr>
            <w:tcW w:w="4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Total Number of Shares Purchased</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Maximum Dollar Value of Shares that May Yet Be Purchased Under the Program</w:t>
            </w:r>
          </w:p>
        </w:tc>
      </w:tr>
      <w:tr>
        <w:trPr/>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    All shares reported were forfeited by employees in connection with the satisfaction of tax withholding obligations related to the vesting of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no director or officer of the Company adopted, modified or terminated a “Rule 10b5-1 trading arrangement” or “non-Rule 10b5-1 trading arrangement,” as each term is defined in Item 408(a) of Regulation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8"/>
        <w:gridCol w:w="213"/>
        <w:gridCol w:w="125"/>
        <w:gridCol w:w="125"/>
        <w:gridCol w:w="125"/>
        <w:gridCol w:w="131"/>
        <w:gridCol w:w="2680"/>
        <w:gridCol w:w="2537"/>
        <w:gridCol w:w="2561"/>
        <w:gridCol w:w="585"/>
        <w:gridCol w:w="439"/>
        <w:gridCol w:w="416"/>
      </w:tblGrid>
      <w:tr>
        <w:trPr/>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Method of Filing</w:t>
            </w:r>
          </w:p>
        </w:tc>
      </w:tr>
      <w:tr>
        <w:trPr/>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Certificate of Incorporation of the Company, as amended (1)</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the Company</w:t>
              </w:r>
            </w:hyperlink>
            <w:r>
              <w:rPr>
                <w:color w:val="000000"/>
              </w:rPr>
              <w:t xml:space="preserve"> </w:t>
            </w:r>
            <w:r>
              <w:rPr>
                <w:rFonts w:ascii="Times New Roman;sans-serif" w:hAnsi="Times New Roman;sans-serif"/>
                <w:b w:val="false"/>
                <w:color w:val="000000"/>
                <w:sz w:val="20"/>
              </w:rPr>
              <w:t>(2)</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a_2024630x10q.htm">
              <w:r>
                <w:rPr>
                  <w:rStyle w:val="InternetLink"/>
                  <w:rFonts w:ascii="Times New Roman;sans-serif" w:hAnsi="Times New Roman;sans-serif"/>
                  <w:b w:val="false"/>
                  <w:color w:val="0000FF"/>
                  <w:sz w:val="20"/>
                  <w:u w:val="single"/>
                </w:rPr>
                <w:t>Rule 13a-14(a)/15d-14(a) Certification of Chief Executive Officer</w:t>
              </w:r>
            </w:hyperlink>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b_2024630x10q.htm">
              <w:r>
                <w:rPr>
                  <w:rStyle w:val="InternetLink"/>
                  <w:rFonts w:ascii="Times New Roman;sans-serif" w:hAnsi="Times New Roman;sans-serif"/>
                  <w:b w:val="false"/>
                  <w:color w:val="0000FF"/>
                  <w:sz w:val="20"/>
                  <w:u w:val="single"/>
                </w:rPr>
                <w:t>Rule 13a-14(a)/15d-14(a) Certification of Chief Financial Officer</w:t>
              </w:r>
            </w:hyperlink>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2_2024630x10q.htm">
              <w:r>
                <w:rPr>
                  <w:rStyle w:val="InternetLink"/>
                  <w:rFonts w:ascii="Times New Roman;sans-serif" w:hAnsi="Times New Roman;sans-serif"/>
                  <w:b w:val="false"/>
                  <w:color w:val="0000FF"/>
                  <w:sz w:val="20"/>
                  <w:u w:val="single"/>
                </w:rPr>
                <w:t>Section 1350 Certification</w:t>
              </w:r>
            </w:hyperlink>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Digi International Inc.'s Quarterly Report on Form 10-Q for the fiscal period ended June 30, 2024, as filed with the Security and Exchange Commission, formatted in iXBRL (Inline 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 Stockholders' Equity; and (vi) the Notes to the Condensed Consolidated Financial Statements.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Digi International Inc.'s Quarterly Report on Form 10-Q for the period ended June 30, 2024 is formatted in iXBRL (included in Exhibit 101).</w:t>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778"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Incorporated by reference to Exhibit 3(a) to the Company's Annual Report on Form 10-K for the year ended September 30, 1993.</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(2)Incorporated by reference to Exhibit 3.1 to the Company's Current Report on Form 8-K filed on April 30, 2020.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ed24dd5b65c4ddca5ac106f16a4c73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95"/>
        <w:gridCol w:w="172"/>
        <w:gridCol w:w="173"/>
        <w:gridCol w:w="399"/>
        <w:gridCol w:w="399"/>
        <w:gridCol w:w="401"/>
        <w:gridCol w:w="255"/>
        <w:gridCol w:w="255"/>
        <w:gridCol w:w="255"/>
        <w:gridCol w:w="1216"/>
        <w:gridCol w:w="1216"/>
        <w:gridCol w:w="1216"/>
        <w:gridCol w:w="1216"/>
        <w:gridCol w:w="1216"/>
        <w:gridCol w:w="1242"/>
        <w:gridCol w:w="109"/>
        <w:gridCol w:w="109"/>
        <w:gridCol w:w="161"/>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 INTERNATIONAL INC.</w:t>
              <w:b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73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Loch</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Loch</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 (Principal Financial Officer and Authorized Officer)</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No. 31(a)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Ronald E. Konezny, certify that: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896" w:type="dxa"/>
        <w:jc w:val="left"/>
        <w:tblInd w:w="0" w:type="dxa"/>
        <w:tblLayout w:type="fixed"/>
        <w:tblCellMar>
          <w:top w:w="28" w:type="dxa"/>
          <w:left w:w="28" w:type="dxa"/>
          <w:bottom w:w="28" w:type="dxa"/>
          <w:right w:w="28" w:type="dxa"/>
        </w:tblCellMar>
      </w:tblPr>
      <w:tblGrid>
        <w:gridCol w:w="493"/>
        <w:gridCol w:w="435"/>
        <w:gridCol w:w="437"/>
        <w:gridCol w:w="351"/>
        <w:gridCol w:w="351"/>
        <w:gridCol w:w="351"/>
        <w:gridCol w:w="351"/>
        <w:gridCol w:w="351"/>
        <w:gridCol w:w="351"/>
        <w:gridCol w:w="351"/>
        <w:gridCol w:w="351"/>
        <w:gridCol w:w="351"/>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No. 31(b)</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J. Loch,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714" w:type="dxa"/>
        <w:jc w:val="left"/>
        <w:tblInd w:w="0" w:type="dxa"/>
        <w:tblLayout w:type="fixed"/>
        <w:tblCellMar>
          <w:top w:w="28" w:type="dxa"/>
          <w:left w:w="28" w:type="dxa"/>
          <w:bottom w:w="28" w:type="dxa"/>
          <w:right w:w="28" w:type="dxa"/>
        </w:tblCellMar>
      </w:tblPr>
      <w:tblGrid>
        <w:gridCol w:w="493"/>
        <w:gridCol w:w="435"/>
        <w:gridCol w:w="437"/>
        <w:gridCol w:w="553"/>
        <w:gridCol w:w="553"/>
        <w:gridCol w:w="553"/>
        <w:gridCol w:w="553"/>
        <w:gridCol w:w="553"/>
        <w:gridCol w:w="553"/>
        <w:gridCol w:w="553"/>
        <w:gridCol w:w="553"/>
        <w:gridCol w:w="553"/>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49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Chief Financial Officer and Treasurer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No. 32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Digi International Inc. (the Registrant) on Form 10-Q for the fiscal quarter ended June 30, 2024 as filed with the Securities and Exchange Commission on the date hereof, each of the undersigned certifies, pursuant to 18 U.S.C. §1350, as adopted pursuant to §906 of the Sarbanes-Oxley Act of 2002,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Quarterly Report on Form 10-Q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Quarterly Report on Form 10-Q fairly presents, in all material respects, the financial condition and results of operations of the Registrant.</w:t>
      </w:r>
    </w:p>
    <w:tbl>
      <w:tblPr>
        <w:tblW w:w="6669" w:type="dxa"/>
        <w:jc w:val="left"/>
        <w:tblInd w:w="0" w:type="dxa"/>
        <w:tblLayout w:type="fixed"/>
        <w:tblCellMar>
          <w:top w:w="28" w:type="dxa"/>
          <w:left w:w="28" w:type="dxa"/>
          <w:bottom w:w="28" w:type="dxa"/>
          <w:right w:w="28" w:type="dxa"/>
        </w:tblCellMar>
      </w:tblPr>
      <w:tblGrid>
        <w:gridCol w:w="493"/>
        <w:gridCol w:w="435"/>
        <w:gridCol w:w="437"/>
        <w:gridCol w:w="548"/>
        <w:gridCol w:w="548"/>
        <w:gridCol w:w="548"/>
        <w:gridCol w:w="548"/>
        <w:gridCol w:w="548"/>
        <w:gridCol w:w="548"/>
        <w:gridCol w:w="548"/>
        <w:gridCol w:w="548"/>
        <w:gridCol w:w="548"/>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669"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54775/000085477522000028/dgii-20220930.htm" TargetMode="External"/><Relationship Id="rId4" Type="http://schemas.openxmlformats.org/officeDocument/2006/relationships/hyperlink" Target="https://www.sec.gov/Archives/edgar/data/854775/000110465920054438/tm2018116d1_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14855</Words>
  <Characters>79610</Characters>
  <CharactersWithSpaces>93213</CharactersWithSpaces>
  <Paragraphs>2903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