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04" w:lineRule="exact"/>
        <w:rPr>
          <w:sz w:val="24"/>
          <w:szCs w:val="24"/>
          <w:color w:val="auto"/>
        </w:rPr>
      </w:pPr>
    </w:p>
    <w:p>
      <w:pPr>
        <w:ind w:left="440" w:hanging="351"/>
        <w:spacing w:after="0"/>
        <w:tabs>
          <w:tab w:leader="none" w:pos="4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ANNUAL REPORT PURSUANT TO SECTION 13 OR 15 (d)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September 30, 2022</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32" w:lineRule="exact"/>
        <w:rPr>
          <w:sz w:val="24"/>
          <w:szCs w:val="24"/>
          <w:color w:val="auto"/>
        </w:rPr>
      </w:pPr>
    </w:p>
    <w:p>
      <w:pPr>
        <w:ind w:left="440" w:hanging="351"/>
        <w:spacing w:after="0"/>
        <w:tabs>
          <w:tab w:leader="none" w:pos="4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 (d) OF THE SECURITIES EXCHANGE ACT OF 1934</w:t>
      </w:r>
    </w:p>
    <w:p>
      <w:pPr>
        <w:spacing w:after="0" w:line="115" w:lineRule="exact"/>
        <w:rPr>
          <w:sz w:val="24"/>
          <w:szCs w:val="24"/>
          <w:color w:val="auto"/>
        </w:rPr>
      </w:pPr>
    </w:p>
    <w:tbl>
      <w:tblPr>
        <w:tblLayout w:type="fixed"/>
        <w:tblInd w:w="3700" w:type="dxa"/>
        <w:tblCellMar>
          <w:top w:w="0" w:type="dxa"/>
          <w:left w:w="0" w:type="dxa"/>
          <w:bottom w:w="0" w:type="dxa"/>
          <w:right w:w="0" w:type="dxa"/>
        </w:tblCellMar>
      </w:tblPr>
      <w:tr>
        <w:trPr>
          <w:trHeight w:val="184"/>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w:t>
            </w:r>
          </w:p>
        </w:tc>
        <w:tc>
          <w:tcPr>
            <w:tcW w:w="4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258"/>
        </w:trPr>
        <w:tc>
          <w:tcPr>
            <w:tcW w:w="3480" w:type="dxa"/>
            <w:vAlign w:val="bottom"/>
            <w:gridSpan w:val="4"/>
          </w:tcPr>
          <w:p>
            <w:pPr>
              <w:ind w:left="680"/>
              <w:spacing w:after="0"/>
              <w:rPr>
                <w:sz w:val="20"/>
                <w:szCs w:val="20"/>
                <w:color w:val="auto"/>
              </w:rPr>
            </w:pPr>
            <w:r>
              <w:rPr>
                <w:rFonts w:ascii="Times New Roman" w:cs="Times New Roman" w:eastAsia="Times New Roman" w:hAnsi="Times New Roman"/>
                <w:sz w:val="16"/>
                <w:szCs w:val="16"/>
                <w:b w:val="1"/>
                <w:bCs w:val="1"/>
                <w:color w:val="auto"/>
              </w:rPr>
              <w:t>Commission file number: 001-34033</w:t>
            </w: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63500</wp:posOffset>
            </wp:positionV>
            <wp:extent cx="1028700"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0"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DIGI INTERNATIONAL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7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41-1532464</w:t>
            </w:r>
          </w:p>
        </w:tc>
      </w:tr>
      <w:tr>
        <w:trPr>
          <w:trHeight w:val="207"/>
        </w:trPr>
        <w:tc>
          <w:tcPr>
            <w:tcW w:w="5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Number)</w:t>
            </w:r>
          </w:p>
        </w:tc>
      </w:tr>
      <w:tr>
        <w:trPr>
          <w:trHeight w:val="324"/>
        </w:trPr>
        <w:tc>
          <w:tcPr>
            <w:tcW w:w="5760" w:type="dxa"/>
            <w:vAlign w:val="bottom"/>
            <w:gridSpan w:val="3"/>
          </w:tcPr>
          <w:p>
            <w:pPr>
              <w:ind w:left="1340"/>
              <w:spacing w:after="0"/>
              <w:rPr>
                <w:sz w:val="20"/>
                <w:szCs w:val="20"/>
                <w:color w:val="auto"/>
              </w:rPr>
            </w:pPr>
            <w:r>
              <w:rPr>
                <w:rFonts w:ascii="Times New Roman" w:cs="Times New Roman" w:eastAsia="Times New Roman" w:hAnsi="Times New Roman"/>
                <w:sz w:val="16"/>
                <w:szCs w:val="16"/>
                <w:b w:val="1"/>
                <w:bCs w:val="1"/>
                <w:color w:val="auto"/>
              </w:rPr>
              <w:t>9350 Excelsior Blvd. Suite 700</w:t>
            </w:r>
          </w:p>
        </w:tc>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r>
      <w:tr>
        <w:trPr>
          <w:trHeight w:val="219"/>
        </w:trPr>
        <w:tc>
          <w:tcPr>
            <w:tcW w:w="5760" w:type="dxa"/>
            <w:vAlign w:val="bottom"/>
            <w:gridSpan w:val="3"/>
          </w:tcPr>
          <w:p>
            <w:pPr>
              <w:ind w:left="2160"/>
              <w:spacing w:after="0"/>
              <w:rPr>
                <w:sz w:val="20"/>
                <w:szCs w:val="20"/>
                <w:color w:val="auto"/>
              </w:rPr>
            </w:pPr>
            <w:r>
              <w:rPr>
                <w:rFonts w:ascii="Times New Roman" w:cs="Times New Roman" w:eastAsia="Times New Roman" w:hAnsi="Times New Roman"/>
                <w:sz w:val="16"/>
                <w:szCs w:val="16"/>
                <w:b w:val="1"/>
                <w:bCs w:val="1"/>
                <w:color w:val="auto"/>
              </w:rPr>
              <w:t>Hopkins Minnesota</w:t>
            </w:r>
          </w:p>
        </w:tc>
        <w:tc>
          <w:tcPr>
            <w:tcW w:w="54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55343</w:t>
            </w:r>
          </w:p>
        </w:tc>
      </w:tr>
      <w:tr>
        <w:trPr>
          <w:trHeight w:val="207"/>
        </w:trPr>
        <w:tc>
          <w:tcPr>
            <w:tcW w:w="55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 912-3444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341"/>
        </w:trPr>
        <w:tc>
          <w:tcPr>
            <w:tcW w:w="444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720" w:type="dxa"/>
            <w:vAlign w:val="bottom"/>
            <w:gridSpan w:val="2"/>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$.01 per share</w:t>
            </w:r>
          </w:p>
        </w:tc>
        <w:tc>
          <w:tcPr>
            <w:tcW w:w="1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20" w:type="dxa"/>
            <w:vAlign w:val="bottom"/>
            <w:tcBorders>
              <w:top w:val="single" w:sz="8" w:color="auto"/>
            </w:tcBorders>
          </w:tcPr>
          <w:p>
            <w:pPr>
              <w:jc w:val="center"/>
              <w:ind w:right="439"/>
              <w:spacing w:after="0"/>
              <w:rPr>
                <w:sz w:val="20"/>
                <w:szCs w:val="20"/>
                <w:color w:val="auto"/>
              </w:rPr>
            </w:pPr>
            <w:r>
              <w:rPr>
                <w:rFonts w:ascii="Times New Roman" w:cs="Times New Roman" w:eastAsia="Times New Roman" w:hAnsi="Times New Roman"/>
                <w:sz w:val="16"/>
                <w:szCs w:val="16"/>
                <w:color w:val="auto"/>
              </w:rPr>
              <w:t>DGII</w:t>
            </w:r>
          </w:p>
        </w:tc>
        <w:tc>
          <w:tcPr>
            <w:tcW w:w="100" w:type="dxa"/>
            <w:vAlign w:val="bottom"/>
          </w:tcPr>
          <w:p>
            <w:pPr>
              <w:spacing w:after="0"/>
              <w:rPr>
                <w:sz w:val="17"/>
                <w:szCs w:val="17"/>
                <w:color w:val="auto"/>
              </w:rPr>
            </w:pPr>
          </w:p>
        </w:tc>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Securities registered pursuant to Section 12(g) of the Act: </w:t>
      </w:r>
      <w:r>
        <w:rPr>
          <w:rFonts w:ascii="Times New Roman" w:cs="Times New Roman" w:eastAsia="Times New Roman" w:hAnsi="Times New Roman"/>
          <w:sz w:val="16"/>
          <w:szCs w:val="16"/>
          <w:color w:val="auto"/>
        </w:rPr>
        <w:t>None</w:t>
      </w:r>
    </w:p>
    <w:p>
      <w:pPr>
        <w:spacing w:after="0" w:line="28" w:lineRule="exact"/>
        <w:rPr>
          <w:sz w:val="24"/>
          <w:szCs w:val="24"/>
          <w:color w:val="auto"/>
        </w:rPr>
      </w:pPr>
    </w:p>
    <w:p>
      <w:pPr>
        <w:ind w:right="2600"/>
        <w:spacing w:after="0" w:line="232"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29" w:lineRule="exact"/>
        <w:rPr>
          <w:sz w:val="24"/>
          <w:szCs w:val="24"/>
          <w:color w:val="auto"/>
        </w:rPr>
      </w:pPr>
    </w:p>
    <w:p>
      <w:pPr>
        <w:ind w:right="40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15" w:lineRule="exact"/>
        <w:rPr>
          <w:sz w:val="24"/>
          <w:szCs w:val="24"/>
          <w:color w:val="auto"/>
        </w:rPr>
      </w:pPr>
    </w:p>
    <w:p>
      <w:pPr>
        <w:ind w:right="20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8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Accelerated filer</w:t>
            </w:r>
          </w:p>
        </w:tc>
        <w:tc>
          <w:tcPr>
            <w:tcW w:w="11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80" w:type="dxa"/>
            <w:vAlign w:val="bottom"/>
          </w:tcPr>
          <w:p>
            <w:pPr>
              <w:ind w:left="118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54"/>
        </w:trPr>
        <w:tc>
          <w:tcPr>
            <w:tcW w:w="26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364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80" w:type="dxa"/>
            <w:vAlign w:val="bottom"/>
          </w:tcPr>
          <w:p>
            <w:pPr>
              <w:ind w:left="1040"/>
              <w:spacing w:after="0" w:line="161" w:lineRule="exact"/>
              <w:rPr>
                <w:sz w:val="20"/>
                <w:szCs w:val="20"/>
                <w:color w:val="auto"/>
              </w:rPr>
            </w:pPr>
            <w:r>
              <w:rPr>
                <w:rFonts w:ascii="MS PGothic" w:cs="MS PGothic" w:eastAsia="MS PGothic" w:hAnsi="MS PGothic"/>
                <w:sz w:val="16"/>
                <w:szCs w:val="16"/>
                <w:color w:val="auto"/>
                <w:highlight w:val="black"/>
                <w:w w:val="74"/>
              </w:rPr>
              <w:t>☐</w:t>
            </w:r>
          </w:p>
        </w:tc>
      </w:tr>
    </w:tbl>
    <w:p>
      <w:pPr>
        <w:spacing w:after="0" w:line="123"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28" w:lineRule="exact"/>
        <w:rPr>
          <w:sz w:val="24"/>
          <w:szCs w:val="24"/>
          <w:color w:val="auto"/>
        </w:rPr>
      </w:pPr>
    </w:p>
    <w:p>
      <w:pPr>
        <w:ind w:right="22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highlight w:val="black"/>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87"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The aggregate market value of voting stock held by non-affiliates of the Registrant as of the last business day of the Registrant's most recently competed second fiscal quarter was $734,732,375 based on a closing price of $21.52 per common share as reported on the Nasdaq Global Select Market. (For purposes of this calculation all of the registrant's directors and executive officers are deemed affiliates of the registrant.)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Shares of common stock outstanding as of November 17, 2022: 35,556,333</w:t>
      </w:r>
    </w:p>
    <w:p>
      <w:pPr>
        <w:spacing w:after="0" w:line="11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Portions of the Registrant's Proxy Statement for its 2022 Annual Meeting of Stockholders are incorporated by reference into Part III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654685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098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0980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INDEX</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12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FF"/>
              </w:rPr>
              <w:t>PART I.</w:t>
            </w: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69"/>
        </w:trPr>
        <w:tc>
          <w:tcPr>
            <w:tcW w:w="10120" w:type="dxa"/>
            <w:vAlign w:val="bottom"/>
            <w:gridSpan w:val="25"/>
            <w:vMerge w:val="continue"/>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1. Business</w:t>
            </w:r>
          </w:p>
        </w:tc>
        <w:tc>
          <w:tcPr>
            <w:tcW w:w="8800" w:type="dxa"/>
            <w:vAlign w:val="bottom"/>
            <w:gridSpan w:val="20"/>
          </w:tcPr>
          <w:p>
            <w:pPr>
              <w:spacing w:after="0"/>
              <w:rPr>
                <w:sz w:val="18"/>
                <w:szCs w:val="18"/>
                <w:color w:val="auto"/>
              </w:rPr>
            </w:pPr>
          </w:p>
        </w:tc>
        <w:tc>
          <w:tcPr>
            <w:tcW w:w="50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60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FF"/>
              </w:rPr>
              <w:t>7</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ITEM 1B. Unresolved Staff Comments</w:t>
            </w:r>
          </w:p>
        </w:tc>
        <w:tc>
          <w:tcPr>
            <w:tcW w:w="7280" w:type="dxa"/>
            <w:vAlign w:val="bottom"/>
            <w:gridSpan w:val="11"/>
          </w:tcPr>
          <w:p>
            <w:pPr>
              <w:spacing w:after="0"/>
              <w:rPr>
                <w:sz w:val="18"/>
                <w:szCs w:val="18"/>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ITEM 2. Properties</w:t>
            </w:r>
          </w:p>
        </w:tc>
        <w:tc>
          <w:tcPr>
            <w:tcW w:w="7280" w:type="dxa"/>
            <w:vAlign w:val="bottom"/>
            <w:gridSpan w:val="11"/>
          </w:tcPr>
          <w:p>
            <w:pPr>
              <w:spacing w:after="0"/>
              <w:rPr>
                <w:sz w:val="18"/>
                <w:szCs w:val="18"/>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3. Legal Proceedings</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680" w:type="dxa"/>
            <w:vAlign w:val="bottom"/>
            <w:gridSpan w:val="13"/>
          </w:tcPr>
          <w:p>
            <w:pPr>
              <w:spacing w:after="0"/>
              <w:rPr>
                <w:sz w:val="18"/>
                <w:szCs w:val="18"/>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24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PART II.</w:t>
            </w:r>
          </w:p>
        </w:tc>
        <w:tc>
          <w:tcPr>
            <w:tcW w:w="768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 of Equity Securities</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ITEM 6. Selected Financial Data</w:t>
            </w:r>
          </w:p>
        </w:tc>
        <w:tc>
          <w:tcPr>
            <w:tcW w:w="6340" w:type="dxa"/>
            <w:vAlign w:val="bottom"/>
            <w:gridSpan w:val="13"/>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0000FF"/>
                <w:w w:val="99"/>
              </w:rPr>
              <w:t>#SectionPage#</w:t>
            </w: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9"/>
              </w:rPr>
              <w:t>ITEM 7A. Quantitative and Qualitative Disclosures About Market Risk</w:t>
            </w:r>
          </w:p>
        </w:tc>
        <w:tc>
          <w:tcPr>
            <w:tcW w:w="1940" w:type="dxa"/>
            <w:vAlign w:val="bottom"/>
            <w:gridSpan w:val="2"/>
          </w:tcPr>
          <w:p>
            <w:pPr>
              <w:spacing w:after="0"/>
              <w:rPr>
                <w:sz w:val="18"/>
                <w:szCs w:val="18"/>
                <w:color w:val="auto"/>
              </w:rPr>
            </w:pPr>
          </w:p>
        </w:tc>
        <w:tc>
          <w:tcPr>
            <w:tcW w:w="3020" w:type="dxa"/>
            <w:vAlign w:val="bottom"/>
            <w:gridSpan w:val="4"/>
          </w:tcPr>
          <w:p>
            <w:pPr>
              <w:spacing w:after="0"/>
              <w:rPr>
                <w:sz w:val="18"/>
                <w:szCs w:val="18"/>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ITEM 8. Financial Statements and Supplementary Data</w:t>
            </w:r>
          </w:p>
        </w:tc>
        <w:tc>
          <w:tcPr>
            <w:tcW w:w="1160" w:type="dxa"/>
            <w:vAlign w:val="bottom"/>
            <w:gridSpan w:val="2"/>
          </w:tcPr>
          <w:p>
            <w:pPr>
              <w:spacing w:after="0"/>
              <w:rPr>
                <w:sz w:val="18"/>
                <w:szCs w:val="18"/>
                <w:color w:val="auto"/>
              </w:rPr>
            </w:pPr>
          </w:p>
        </w:tc>
        <w:tc>
          <w:tcPr>
            <w:tcW w:w="4960" w:type="dxa"/>
            <w:vAlign w:val="bottom"/>
            <w:gridSpan w:val="6"/>
          </w:tcPr>
          <w:p>
            <w:pPr>
              <w:spacing w:after="0"/>
              <w:rPr>
                <w:sz w:val="18"/>
                <w:szCs w:val="18"/>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9A. Controls and Procedures</w:t>
            </w:r>
          </w:p>
        </w:tc>
        <w:tc>
          <w:tcPr>
            <w:tcW w:w="2940" w:type="dxa"/>
            <w:vAlign w:val="bottom"/>
            <w:gridSpan w:val="3"/>
          </w:tcPr>
          <w:p>
            <w:pPr>
              <w:spacing w:after="0"/>
              <w:rPr>
                <w:sz w:val="18"/>
                <w:szCs w:val="18"/>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ITEM 9B. Other Information</w:t>
            </w:r>
          </w:p>
        </w:tc>
        <w:tc>
          <w:tcPr>
            <w:tcW w:w="7560" w:type="dxa"/>
            <w:vAlign w:val="bottom"/>
            <w:gridSpan w:val="12"/>
          </w:tcPr>
          <w:p>
            <w:pPr>
              <w:spacing w:after="0"/>
              <w:rPr>
                <w:sz w:val="18"/>
                <w:szCs w:val="18"/>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7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PART III.</w:t>
            </w:r>
          </w:p>
        </w:tc>
        <w:tc>
          <w:tcPr>
            <w:tcW w:w="1380" w:type="dxa"/>
            <w:vAlign w:val="bottom"/>
            <w:tcBorders>
              <w:top w:val="single" w:sz="8" w:color="0000FF"/>
            </w:tcBorders>
            <w:gridSpan w:val="5"/>
          </w:tcPr>
          <w:p>
            <w:pPr>
              <w:spacing w:after="0"/>
              <w:rPr>
                <w:sz w:val="24"/>
                <w:szCs w:val="24"/>
                <w:color w:val="auto"/>
              </w:rPr>
            </w:pPr>
          </w:p>
        </w:tc>
        <w:tc>
          <w:tcPr>
            <w:tcW w:w="802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8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ITEM 10. Directors, Executive Officers and Corporate Governance</w:t>
            </w:r>
          </w:p>
        </w:tc>
        <w:tc>
          <w:tcPr>
            <w:tcW w:w="5260" w:type="dxa"/>
            <w:vAlign w:val="bottom"/>
            <w:gridSpan w:val="7"/>
          </w:tcPr>
          <w:p>
            <w:pPr>
              <w:spacing w:after="0"/>
              <w:rPr>
                <w:sz w:val="18"/>
                <w:szCs w:val="18"/>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1600" w:type="dxa"/>
            <w:vAlign w:val="bottom"/>
            <w:gridSpan w:val="7"/>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ITEM 11. Executive Compensation</w:t>
            </w:r>
          </w:p>
        </w:tc>
        <w:tc>
          <w:tcPr>
            <w:tcW w:w="2300" w:type="dxa"/>
            <w:vAlign w:val="bottom"/>
            <w:gridSpan w:val="5"/>
          </w:tcPr>
          <w:p>
            <w:pPr>
              <w:spacing w:after="0"/>
              <w:rPr>
                <w:sz w:val="18"/>
                <w:szCs w:val="18"/>
                <w:color w:val="auto"/>
              </w:rPr>
            </w:pPr>
          </w:p>
        </w:tc>
        <w:tc>
          <w:tcPr>
            <w:tcW w:w="5260" w:type="dxa"/>
            <w:vAlign w:val="bottom"/>
            <w:gridSpan w:val="7"/>
          </w:tcPr>
          <w:p>
            <w:pPr>
              <w:spacing w:after="0"/>
              <w:rPr>
                <w:sz w:val="18"/>
                <w:szCs w:val="18"/>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ITEM 12. Security Ownership of Certain Beneficial Owners and Management and Related Stockholder Matters</w:t>
            </w:r>
          </w:p>
        </w:tc>
        <w:tc>
          <w:tcPr>
            <w:tcW w:w="2060" w:type="dxa"/>
            <w:vAlign w:val="bottom"/>
            <w:gridSpan w:val="2"/>
          </w:tcPr>
          <w:p>
            <w:pPr>
              <w:spacing w:after="0"/>
              <w:rPr>
                <w:sz w:val="18"/>
                <w:szCs w:val="18"/>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ITEM 13. Certain Relationships and Related Transactions, and Director Independence</w:t>
            </w:r>
          </w:p>
        </w:tc>
        <w:tc>
          <w:tcPr>
            <w:tcW w:w="1840" w:type="dxa"/>
            <w:vAlign w:val="bottom"/>
            <w:gridSpan w:val="3"/>
          </w:tcPr>
          <w:p>
            <w:pPr>
              <w:spacing w:after="0"/>
              <w:rPr>
                <w:sz w:val="18"/>
                <w:szCs w:val="18"/>
                <w:color w:val="auto"/>
              </w:rPr>
            </w:pPr>
          </w:p>
        </w:tc>
        <w:tc>
          <w:tcPr>
            <w:tcW w:w="2060" w:type="dxa"/>
            <w:vAlign w:val="bottom"/>
            <w:gridSpan w:val="2"/>
          </w:tcPr>
          <w:p>
            <w:pPr>
              <w:spacing w:after="0"/>
              <w:rPr>
                <w:sz w:val="18"/>
                <w:szCs w:val="18"/>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14. Principal Accounting Fees and Services</w:t>
            </w:r>
          </w:p>
        </w:tc>
        <w:tc>
          <w:tcPr>
            <w:tcW w:w="3900" w:type="dxa"/>
            <w:vAlign w:val="bottom"/>
            <w:gridSpan w:val="5"/>
          </w:tcPr>
          <w:p>
            <w:pPr>
              <w:spacing w:after="0"/>
              <w:rPr>
                <w:sz w:val="18"/>
                <w:szCs w:val="18"/>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7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1"/>
              </w:rPr>
              <w:t>PART IV.</w:t>
            </w:r>
          </w:p>
        </w:tc>
        <w:tc>
          <w:tcPr>
            <w:tcW w:w="2920" w:type="dxa"/>
            <w:vAlign w:val="bottom"/>
            <w:tcBorders>
              <w:top w:val="single" w:sz="8" w:color="0000FF"/>
            </w:tcBorders>
            <w:gridSpan w:val="12"/>
          </w:tcPr>
          <w:p>
            <w:pPr>
              <w:spacing w:after="0"/>
              <w:rPr>
                <w:sz w:val="24"/>
                <w:szCs w:val="24"/>
                <w:color w:val="auto"/>
              </w:rPr>
            </w:pPr>
          </w:p>
        </w:tc>
        <w:tc>
          <w:tcPr>
            <w:tcW w:w="650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ITEM 15. Exhibits, Financial Statement Schedules</w:t>
            </w:r>
          </w:p>
        </w:tc>
        <w:tc>
          <w:tcPr>
            <w:tcW w:w="6460" w:type="dxa"/>
            <w:vAlign w:val="bottom"/>
            <w:gridSpan w:val="9"/>
          </w:tcPr>
          <w:p>
            <w:pPr>
              <w:spacing w:after="0"/>
              <w:rPr>
                <w:sz w:val="18"/>
                <w:szCs w:val="18"/>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gridSpan w:val="10"/>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6460" w:type="dxa"/>
            <w:vAlign w:val="bottom"/>
            <w:gridSpan w:val="9"/>
          </w:tcPr>
          <w:p>
            <w:pPr>
              <w:spacing w:after="0" w:line="20" w:lineRule="exact"/>
              <w:rPr>
                <w:sz w:val="1"/>
                <w:szCs w:val="1"/>
                <w:color w:val="auto"/>
              </w:rPr>
            </w:pPr>
          </w:p>
        </w:tc>
        <w:tc>
          <w:tcPr>
            <w:tcW w:w="5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6460" w:type="dxa"/>
            <w:vAlign w:val="bottom"/>
            <w:gridSpan w:val="9"/>
          </w:tcPr>
          <w:p>
            <w:pPr>
              <w:spacing w:after="0"/>
              <w:rPr>
                <w:sz w:val="18"/>
                <w:szCs w:val="18"/>
                <w:color w:val="auto"/>
              </w:rPr>
            </w:pPr>
          </w:p>
        </w:tc>
        <w:tc>
          <w:tcPr>
            <w:tcW w:w="10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9"/>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6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Background and Product Offerings</w:t>
      </w:r>
    </w:p>
    <w:p>
      <w:pPr>
        <w:spacing w:after="0" w:line="189"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18"/>
          <w:szCs w:val="18"/>
          <w:color w:val="auto"/>
        </w:rPr>
        <w:t>Digi International Inc. ("Digi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"our," or "us") was incorporated in 1985 as a Minnesota corporation. We were reorganized as a Delaware corporation in 1989 in conjunction with our initial public offering. Our common stock is traded on the Nasdaq Global Select Market tier of the Nasdaq Stock Market LLC under the symbol DGII. Our World Headquarters is located at 9350 Excelsior Blvd., Suite 700, Hopkins, Minnesota 55343. The telephone number at our World Headquarters is (952) 912-3444.</w:t>
      </w:r>
    </w:p>
    <w:p>
      <w:pPr>
        <w:spacing w:after="0" w:line="17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are a leading global provider of business and mission-critical Internet of Things ("IoT") connectivity products, services and solutions. We help our customers deploy, monitor and manage critical communications infrastructures that deliver important information in demanding environments with high levels of security and reliability. We have two reportable operating segments under applicable accounting standards: (i) IoT Products &amp; Services; and (ii) IoT Solutions.</w:t>
      </w:r>
    </w:p>
    <w:p>
      <w:pPr>
        <w:spacing w:after="0" w:line="13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IoT Products &amp; Services segment offers products and services that help original equipment manufacturers ("OEMs"), enterprise and government customers create and deploy, secure IoT connectivity solutions. From embedded and wireless modules to console servers as well as enterprise and industrial routers, we provide a wide variety of communication sub-assemblies and finished products to meet our customers' IoT communication requirements. In addition, this segment provides our customers with a device management platform and other professional services to enable customers to capture and manage data from devices connected to networks.</w:t>
      </w:r>
    </w:p>
    <w:p>
      <w:pPr>
        <w:spacing w:after="0" w:line="129"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8"/>
          <w:szCs w:val="18"/>
          <w:color w:val="auto"/>
        </w:rPr>
        <w:t>Our IoT Solutions segment primarily consists of our Managed Network-as –a-Service (“MNaaS”) business acquired last year via our acquisition of Ventus Wireless, LLC and affiliated entities (“Ventus”) and our SmartSense by Digi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Ventus is a leader in the provision of MNaaS solutions that simplify the complexity of enterprise wide area network (“WAN”) connectivity for customers. The Ventus portfolio includes cellular wireless and fixed line WAN solutions for an array of connectivity applications in banking, healthcare, retail, gaming, hospitality and other sectors. SmartSense offers wireless temperature and other condition-based monitoring services as well as employee task management services. These solutions are focused on the following vertical markets: food service, healthcare (primarily pharmacies and hospitals) and supply chain.</w:t>
      </w:r>
    </w:p>
    <w:p>
      <w:pPr>
        <w:spacing w:after="0" w:line="159"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For more in-depth descriptions of our products and services, please refer to the heading "Principal Products and Services" at the end of Part I, Item 1 of this Form 10-K.</w:t>
      </w:r>
    </w:p>
    <w:p>
      <w:pPr>
        <w:spacing w:after="0" w:line="13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Our corporate website address is www.digi.com. In the "Company - Investor Relations" section of our website, we make our annual report on Form 10-K, quarterly reports on Form 10-Q, current reports on Form 8-K, our proxy statement and any amendments to these reports available free of charge as soon as reasonably practicable after these reports are filed with or furnished to the United States Securities and Exchange Commission ("SEC"). Information on our website is not incorporated by reference into this report or any other report we file with or furnish to the SEC.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Ongoing Impacts of Global Macro-Economic Conditions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impacts of global macro-economic conditions, driven largely by the war in Ukraine and the impacts of the Covid-19 pandemic have disrupted supply chains for a range of goods and services, continue to create significant uncertainty regarding the nearer term outlook for our operations and the markets into which we sell.</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date these conditions have primarily impacted our supply chain in adverse ways that include container ship backlogs, energy shortages in certain parts of the world, and components and material shortages. This has led to shortfalls in available components we need to make products as well as increased costs both to obtain components and to transport components and products. It has also lengthened the timelines for us to fulfill customer orders, increasing our backlog, and in some cases has led to an inability to meet an increasing level of demand for our products. The severity of the disruptions is changing continuously, meaning the impact on our ability to meet demand for particular products in a timely manner has been subject to ebb and flow. In some instances, these disruptions have been material and it is possible more material disruptions will occur. We are taking steps to attempt to mitigate the impact of the disruptions such as placing inventory demand further out into the future to secure our allocations of components, negotiating and engaging with suppliers to reserve components, encouraging customers to place orders earlier than normal due to longer lead times and attempting (in conjunction with customers) to influence political leaders to assure components needed to make products that are essential to the health and well-being of society are prioritized to our customer’s needs by suppliers. At present the ongoing duration and severity of these disruptions is not known. As such, we are unable to predict the ultimate impact of these disruptions on our business and financial results, which could be material.</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continuously monitor customer demand for the products and services we sell and have not seen material decreases in demand.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Industry and Marketplace Conditions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believe the IoT industry is in the midst of a multi-year expansion as many industries are undergoing a digital transformation within their business that drives demand for IoT capabilities across a broad spectrum of services. Among others, IoT use cases include condition-based monitoring of perishable goods, enabling remote work by employees, automating workflows and operations and providing and maintaining secure connectivity and monitoring of operating assets.</w:t>
      </w:r>
    </w:p>
    <w:p>
      <w:pPr>
        <w:spacing w:after="0" w:line="15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IoT Products &amp; Services segment represented the majority of our sales in fiscal 2022. This segment sells both wired and wireless products that are either embedded into the products of OEMs or as stand-alone products. These offerings allow our customers to connect a wide range of assets to networks. This segment grew during fiscal 2022, led by increases in our cellular and console server revenues. The segment includes some products that are in the mature phase of their life cycle and have been experiencing sales declines for several years. We manage this segment with more focus on profitability and more modest revenue growth expectations relative to our IoT Solutions segment. Recently we have begun to place more emphasis on the delivery of subscription-based solutions offerings for many of these products.</w:t>
      </w:r>
    </w:p>
    <w:p>
      <w:pPr>
        <w:spacing w:after="0" w:line="13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Our IoT Solutions segment grew significantly in fiscal 2022 primarily because of our acquisition of Ventus in our first fiscal quarter. The segment is comprised primarily of our SmartSense and Ventus offerings. SmartSense provides condition-based monitoring services for perishable goods such as food and medicines for health-care, pharmaceutical and food industry. Ventus provides MNaaS offerings to manage and maintain network connectivity for assets such as ATMs and lottery kiosks. The offerings in this segment are offered on a subscription model and provide us with a stable base of recurring higher-margin revenues.</w:t>
      </w:r>
    </w:p>
    <w:p>
      <w:pPr>
        <w:spacing w:after="0" w:line="15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While our business performed well in fiscal 2022 and we expect an ongoing long-term trend of marketplace growth, each of our business segments is susceptible to downturns either because of general macro-economic conditions, the continued development of technology that can make products less competitive or even obsolete and uncertainty or changes in regulatory environments. Given the current uncertainty in macro-economic conditions, including, but not limited to, potential recessionary conditions, ongoing supply chain disruptions globally and the uncertain status of large project-based customer deployment opportunities, our results during fiscal 2023 may be inconsistent.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remain focused on taking steps that we believe will deliver consistent, long-term growth with higher levels of profitability. This includes continuously reviewing and managing the product and solution offerings we provide to align with customer interests and meet market demand. In addition, acquisitions have helped significantly advance our offerings and driven growth and profitability, in both business segments. Over time we expect to continue to be active in making further acquisitions.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Products &amp; Services Segment</w:t>
      </w:r>
    </w:p>
    <w:p>
      <w:pPr>
        <w:spacing w:after="0" w:line="18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Our IoT Products &amp; Services segment is being managed so our product management and sales personnel are aligned along specific product lines to bring greater market focus and potential growth to the product lines. We also continue to drive efforts to pair our hardware offerings with our Digi Remote Manager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 management platform as well as other support services. These bundled offerings allow customers to monitor and manage the performance of our hardware remotely. This segment generated over $14 million in annualized recurring revenue (ARR) as of September 30, 2022. Please see "Key Business Metrics" section in </w:t>
      </w:r>
      <w:r>
        <w:rPr>
          <w:rFonts w:ascii="Times New Roman" w:cs="Times New Roman" w:eastAsia="Times New Roman" w:hAnsi="Times New Roman"/>
          <w:sz w:val="18"/>
          <w:szCs w:val="18"/>
          <w:u w:val="single" w:color="auto"/>
          <w:color w:val="0000FF"/>
        </w:rPr>
        <w:t>Part II, Item 7</w:t>
      </w:r>
      <w:r>
        <w:rPr>
          <w:rFonts w:ascii="Times New Roman" w:cs="Times New Roman" w:eastAsia="Times New Roman" w:hAnsi="Times New Roman"/>
          <w:sz w:val="18"/>
          <w:szCs w:val="18"/>
          <w:color w:val="auto"/>
        </w:rPr>
        <w:t xml:space="preserve"> for additional details on how ARR is measured.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 Segment</w:t>
      </w:r>
    </w:p>
    <w:p>
      <w:pPr>
        <w:spacing w:after="0" w:line="17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Our IoT Solutions segment is driven by recurring traditionally high margin subscription-based revenues. Following our acquisition of Ventus in the first quarter of fiscal 2022, the segment now represents approximately 25% of total revenues. This segment generated $80 million in ARR as of September 30, 2022. We have high organic growth expectations and we will continue to explore added scale through acquisitions.</w:t>
      </w:r>
    </w:p>
    <w:p>
      <w:pPr>
        <w:spacing w:after="0" w:line="15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SmartSense by Digi helps customers monitor temperature and other conditions important to preserve the quality of perishable or other sensitive inventories and tracks the completion of employee tasks. Our efforts have created a market-leading, high-growth hardware enabled service business with a significant recurring revenue base. At present, this marketplace primarily is served by smaller companies that lack the infrastructure to provide hardware-enabled implementation services to customers in as effective and efficient a manner as we are able to do because of our long-standing history as an IoT hardware provider.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SmartSense by Digi presently serves many leading brands in the following vertical markets: food service, healthcare (primarily pharmacies) and supply chain. These markets share similar needs for continuous monitoring and asset tracking for compliance and regulatory purposes and we believe they comprise a large addressable market with low customer penetration.</w:t>
      </w:r>
    </w:p>
    <w:p>
      <w:pPr>
        <w:spacing w:after="0" w:line="1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November 2021, we acquired Ventus Holdings. Ventus is a leader MNaaS solutions that simplify the complexity of enterprise WAN connectivity for an array of applications in banking, healthcare, retail, gaming, hospitality and other sectors.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Dispositions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our fiscal 2022 acquisition of Ventus disclosed above, we have made the following acquisitions from fiscal 2020 through fiscal 2021.</w:t>
      </w:r>
    </w:p>
    <w:p>
      <w:pPr>
        <w:spacing w:after="0" w:line="181" w:lineRule="exact"/>
        <w:rPr>
          <w:sz w:val="20"/>
          <w:szCs w:val="20"/>
          <w:color w:val="auto"/>
        </w:rPr>
      </w:pPr>
    </w:p>
    <w:p>
      <w:pPr>
        <w:ind w:right="580"/>
        <w:spacing w:after="0" w:line="230" w:lineRule="auto"/>
        <w:rPr>
          <w:sz w:val="20"/>
          <w:szCs w:val="20"/>
          <w:color w:val="auto"/>
        </w:rPr>
      </w:pPr>
      <w:r>
        <w:rPr>
          <w:rFonts w:ascii="Times New Roman" w:cs="Times New Roman" w:eastAsia="Times New Roman" w:hAnsi="Times New Roman"/>
          <w:sz w:val="18"/>
          <w:szCs w:val="18"/>
          <w:color w:val="auto"/>
        </w:rPr>
        <w:t>In December 2019, we acquired New Jersey-based Opengear, Inc. ("Opengear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provider of secure IT infrastructure products and software. This acquisition provides products that are complementary to our IoT Products &amp; Services segment.</w:t>
      </w:r>
    </w:p>
    <w:p>
      <w:pPr>
        <w:spacing w:after="0" w:line="159"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8"/>
          <w:szCs w:val="18"/>
          <w:color w:val="auto"/>
        </w:rPr>
        <w:t>In March 2021, we acquired Haxiot, Inc. ("Haxiot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provider of low power wide area ("LPWA") wireless technology. This acquisition enhanced our IoT Products &amp; Services segment by enhancing Digi's embedded systems portfolio and immediately extending the company's market reach with a complete LoRaWAN-based solutions offering.</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July 2021, we acquired Ctek, Inc. ("Ctek"), a provider that specializes in solutions for remote monitoring and industrial controls. Through the acquisition of Ctek, Digi is uniquely positioned to provide customers with both battery and hardwired options for the control and monitoring of critical infrastructure, furthering Digi’s reach in a rapidly expanding market.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Channels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significant portion of our IoT Products &amp; Services segment sales are made through a global network of distributors, systems integrators and value added resellers ("VARs"). These third parties accounted for 50.0%, 47.0% and 37.5% of our total consolidated revenue in fiscal 2022, 2021 and 2020, respectively. Our IoT Solutions segment historically has not sold through these channels. We also complete sales of both IoT Products &amp; Services and IoT Solutions through our own dedicated sales organization directly to a wide range of end user customers. This dedicated sales team accounted for 50.0%, 53.0% and 62.5% of our total consolidated revenue in fiscal 2022, 2021 and 2020,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Distributors</w:t>
      </w:r>
    </w:p>
    <w:p>
      <w:pPr>
        <w:spacing w:after="0" w:line="20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larger distributors, by sales volume, include Arrow Electronics, Avnet, Bressner Technology GmbH, Digi-Key, Express Systems &amp; Peripherals, Ingram Micro, Mouser Electronics, Solid State Supplies, Symmetry Electronics, Synnex, Tech Data, Tokyo Electron Device and Venco Electrónica S.A. We also maintain relationships with many other distributors both domestically and internationally.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Strategic Sales Relationships</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maintain alliances with other industry leaders to develop and market technology solutions. These include many major communications hardware and software vendors, operating system suppliers, computer hardware manufacturers, enterprise application providers and cellular carriers. Among others, relationships include: AT&amp;T, NXP, Orange, Rogers, Silicon Laboratories, T-Mobile, Telus, Telit, Verizon, Vodafone and several other cellular carriers worldwide.</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have established relationships with equipment vendors in a range of industries such as energy, industrial, retail, transportation, medical, and government that allow these partners to ship our products and services as component parts of their overall solutions. Our products are used by many of the world’s leading telecommunications companies and Internet service providers, including, among others, AT&amp;T, T-Mobile and Verizon.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single customer comprised more than 10% of our consolidated revenue for any of the fiscal years 2022, 2021 or 2020.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compete primarily in the communications technology industry. This industry is characterized by rapid technological advances and evolving industry standards. This market can be affected significantly by new product introductions and marketing activities of industry participants. It is possible new market entrants could market and sell disruptive technologies that impact one or more of our product or service offerings. In addition, we may compete with other companies to acquire new businesses or technologies and the competition to secure such assets may be intense. We compete for customers on the basis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existing and planned product features, service and software application capabilities, company reputation, brand recognition, technical support, alliance relationships, quality and reliability, product development capabilities, price and availability. While no competitor offers a comparable range of products and services, various companies do compete with us with respect to one or more of our products or solutions. With respect to many of our product and service offerings, we face competition from companies who dedicate more resources and attention to that particular offering than we are able to do given the breadth of our business. As the marketplace for IoT connectivity products and solutions continues to grow, we expect to encounter increased competition. Some of these competitors may have access to significantly more financial and technical resources than we possess.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Operations</w:t>
      </w:r>
    </w:p>
    <w:p>
      <w:pPr>
        <w:spacing w:after="0" w:line="2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outsource our manufacturing operations to certain contract manufacturers, which are located primarily in Thailand, Mexico, Taiwan and China. We rely on third party foundries or companies who rely on third party foundries for our semiconductor devices that are Application Specific Integrated Circuits ("ASICs"). We also outsource printed circuit board production. By outsourcing our operations to these manufacturers, we can leverage the manufacturing strength of our vendors, which allows us to focus on new product introductions. In addition, it allows us to reduce our fixed costs, maintain production flexibility and optimize our profits.</w:t>
      </w:r>
    </w:p>
    <w:p>
      <w:pPr>
        <w:spacing w:after="0" w:line="14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products are manufactured to our designs with standard and custom components. Most of the components are available from multiple vendors. We have several single-sourced supplier relationships, either because alternative sources are not available or because the relationship is advantageous to us. As disclosed elsewhere, our manufacturing operations, like those of other companies, are dependent on relationships with these suppliers who are also experiencing supply chain disruptions. If these suppliers are unable to provide a timely and reliable supply of components, we could experience manufacturing delays that could adversely affect our consolidated results of operations in a material way. In an effort to mitigate supply chain exposure, we have increased our amount of inventory on hand.</w:t>
      </w:r>
    </w:p>
    <w:p>
      <w:pPr>
        <w:spacing w:after="0" w:line="14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as a result of the global pandemic, there has been increased attention focused on actions of the Chinese government with respect to how they attempt to mitigate the impacts of the pandemic. Also, as a result of the war in Ukraine, governments around the world have imposed sanctions on Russia and Belarus. These situations could lead to potential adverse impacts on a wide range of businesses and could disrupt the supply of components or end-products that we produce.</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general, our business is not considered to be highly seasonal, although our first fiscal quarter revenue is often less than other quarters due to holidays and fewer business days.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 and Intellectual Property Rights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Due to rapidly changing technology in the communications technology industry, we believe a large part of our success depends upon the product and service development skills of our personnel as well as our ability to integrate any acquired technologies with organically developed technologies. While we dedicate significant resources to research and development, many of our competitors are focused on a smaller set of products than us and are likely able to dedicate more resources than us toward the portions of the market in which we compete with them. In recent periods, as a result of supply chain constraints, a significant portion of our research &amp; development spending has been focused on the re-design or reconfiguration of existing products using different components. This has lowered our ability to focus on new product development.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proprietary rights and technology are protected by a combination of copyrights, patents, trade secrets and trademarks.</w:t>
      </w:r>
    </w:p>
    <w:p>
      <w:pPr>
        <w:spacing w:after="0" w:line="19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We have established common law and registered trademark rights on a family of marks for a number of our products. Our IoT Products &amp; Services primarily are sold under the Digi, Rabbit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Digi XBee, and Opengear brands. We believe that the Digi and Rabbit brands have established strong identities with our targeted customer base and our customers associate the Digi brand with "reliability" and the Rabbit brand with "ease of integration." We believe that our customers associate Digi XBee with "ease of use." Many of our customers choose us because they are building a very complex system solution and they want the highest level in product reliability and ease of integration and use. Our IoT Solutions are offered under the Ventus and SmartSense by Digi brands.</w:t>
      </w:r>
    </w:p>
    <w:p>
      <w:pPr>
        <w:spacing w:after="0" w:line="15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patents are applicable to specific technologies and are valid for varying periods of time based on the date of patent application or patent grant in the U.S. and the legal term of patents in the various foreign countries where patent protection is obtained. We believe our intellectual property has significant value and is an important factor in the marketing of our company and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Digi’s workforce consists of approximately 790 employees globally as of September 30, 2022. We consider our relationship with our employees to be good.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Culture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employees of Digi we are all expected to uphold the following core values that drive our culture:</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and open communication</w:t>
      </w:r>
    </w:p>
    <w:p>
      <w:pPr>
        <w:spacing w:after="0" w:line="18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These core values define the way we do business in our everyday actions and choices. We strive to create a respectful work environment characterized by mutual trust and the absence of intimidation, oppression, discrimination and exploitation.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Talent</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Successful execution of our strategy is dependent on attracting, developing and retaining key employees and members of our management team. The skills, experience and industry knowledge of our employees significantly benefit our operations and performance. We continuously evaluate, modify, and enhance our internal processes and technologies to increase employee engagement, productivity, and efficiency.</w:t>
      </w:r>
    </w:p>
    <w:p>
      <w:pPr>
        <w:spacing w:after="0" w:line="14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are committed to promoting and cultivating an inclusive, diverse culture that welcomes and celebrates everyone without bias. In addition, we actively engage within our communities to foster and attain social equity.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w:t>
      </w:r>
    </w:p>
    <w:p>
      <w:pPr>
        <w:spacing w:after="0" w:line="18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Our compensation philosophy creates the framework and building blocks for our rewards strategy. We have a pay-for-performance culture that ties compensation to the performance of the individual and the company. We provide balanced compensation programs that focus on the following five key elements:</w:t>
      </w:r>
    </w:p>
    <w:p>
      <w:pPr>
        <w:spacing w:after="0" w:line="13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Pay-for-performance - Reward and recognize leading contributors and high potentials;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based - Pay levels that are competitive with respect to the labor market in which we compete for talent;</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equity - Providing for fair pay relationships within the Company;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responsibility - Providing affordable programs that are within our budget; and</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compliance - Ensure the organization is legally compliant in all states and countries in which we operate.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and Wellness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committed to providing a competitive and comprehensive benefits package to our employees. Our benefits package provides a balance of protection along with the flexibility to meet the individual health and wellness needs of our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products and services for each operating segment 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IoT Products &amp; Services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Hardware Products</w:t>
      </w:r>
    </w:p>
    <w:p>
      <w:pPr>
        <w:spacing w:after="0" w:line="198"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b w:val="1"/>
          <w:bCs w:val="1"/>
          <w:color w:val="auto"/>
        </w:rPr>
        <w:t xml:space="preserve">Cellular Products – </w:t>
      </w:r>
      <w:r>
        <w:rPr>
          <w:rFonts w:ascii="Times New Roman" w:cs="Times New Roman" w:eastAsia="Times New Roman" w:hAnsi="Times New Roman"/>
          <w:sz w:val="18"/>
          <w:szCs w:val="18"/>
          <w:color w:val="auto"/>
        </w:rPr>
        <w:t>We provide a range of products that use cellular technology such as Long Term Evolution (“LTE”), LTE Advance Pro and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Generation wireless protocols to communicate with networks. These products provide a cost-effective, more flexible alternative to landlines for primary or backup connectivity. They are trusted by global leaders in agricultural, energy medical, lighting, digital signage, gaming, electric charging and transportation, as well as other industrial and enterprise markets including:</w:t>
      </w:r>
    </w:p>
    <w:p>
      <w:pPr>
        <w:spacing w:after="0" w:line="91" w:lineRule="exact"/>
        <w:rPr>
          <w:sz w:val="20"/>
          <w:szCs w:val="20"/>
          <w:color w:val="auto"/>
        </w:rPr>
      </w:pPr>
    </w:p>
    <w:p>
      <w:pPr>
        <w:ind w:left="660" w:right="2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Cellular routers that help enterprise, government, industrial, transportation and OEM customers with their mission-critical wireless connectivity needs in challenging, remote and mobile environments.</w:t>
      </w:r>
    </w:p>
    <w:p>
      <w:pPr>
        <w:spacing w:after="0" w:line="53"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Cellular modules that help OEM customers embed cellular communications abilities into their products so they can deploy and manage intelligent and secure cellular connected products. These modules help OEMs to get their products to market faster and with lower development costs and risks so they can focus on their core competencies instead of on wireless connectivity design.</w:t>
      </w:r>
    </w:p>
    <w:p>
      <w:pPr>
        <w:spacing w:after="0" w:line="67" w:lineRule="exact"/>
        <w:rPr>
          <w:rFonts w:ascii="Times New Roman" w:cs="Times New Roman" w:eastAsia="Times New Roman" w:hAnsi="Times New Roman"/>
          <w:sz w:val="18"/>
          <w:szCs w:val="18"/>
          <w:color w:val="auto"/>
        </w:rPr>
      </w:pPr>
    </w:p>
    <w:p>
      <w:pPr>
        <w:ind w:left="660" w:right="20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Console servers that can be managed by software to provide secure, remote access to network equipment in data centers and at edge locations. These products primarily are used by IT organizations in large enterprises to maximize the availability of services to their customers and employees, and provide business continuity in the event of a network failure. This technology improves efficiency and reduces the risk of costly outages.</w:t>
      </w:r>
    </w:p>
    <w:p>
      <w:pPr>
        <w:spacing w:after="0" w:line="13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Radio-Frequency (“RF”) Products </w:t>
      </w:r>
      <w:r>
        <w:rPr>
          <w:rFonts w:ascii="Times New Roman" w:cs="Times New Roman" w:eastAsia="Times New Roman" w:hAnsi="Times New Roman"/>
          <w:sz w:val="18"/>
          <w:szCs w:val="18"/>
          <w:color w:val="auto"/>
        </w:rPr>
        <w:t>– These products which are marketed primarily under the Digi XBee brand include embedded wireless modules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off-the-shelf gateways, modems and adapters. They are used by customers across a broad range of industries. These products offer a wide selection of both standards-based and proprietary wireless protocols including Zigbee, Cellular, Sub-1 GHz, LPWA, WiFi and Bluetooth to meet diverse application requirements of customers.</w:t>
      </w:r>
    </w:p>
    <w:p>
      <w:pPr>
        <w:spacing w:after="0" w:line="136"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7"/>
          <w:szCs w:val="17"/>
          <w:b w:val="1"/>
          <w:bCs w:val="1"/>
          <w:color w:val="auto"/>
        </w:rPr>
        <w:t xml:space="preserve">Embedded System Products </w:t>
      </w:r>
      <w:r>
        <w:rPr>
          <w:rFonts w:ascii="Times New Roman" w:cs="Times New Roman" w:eastAsia="Times New Roman" w:hAnsi="Times New Roman"/>
          <w:sz w:val="17"/>
          <w:szCs w:val="17"/>
          <w:color w:val="auto"/>
        </w:rPr>
        <w:t>– Marketed under the Digi Connect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ConnectCore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Rabbit brands these are embedded system on modules ("SOMs")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single board computers that are embedded into customer products in a broad range of industries and applications. These products deliver highly integrated computer platforms with scalable performance, flexible wired and wireless connectivity and complete software platforms. These products are designed and developed with compact form-factors, low power consumption and long product lifecycles. The latest ConnectCore products support advanced multi-core processing, security, multimedia, human-machine interface ("HMI") and other emerging technologies like machine learning.</w:t>
      </w:r>
    </w:p>
    <w:p>
      <w:pPr>
        <w:spacing w:after="0" w:line="15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Infrastructure Management Products – </w:t>
      </w:r>
      <w:r>
        <w:rPr>
          <w:rFonts w:ascii="Times New Roman" w:cs="Times New Roman" w:eastAsia="Times New Roman" w:hAnsi="Times New Roman"/>
          <w:sz w:val="18"/>
          <w:szCs w:val="18"/>
          <w:color w:val="auto"/>
        </w:rPr>
        <w:t>These products include serial and Universal Serial Bus ("USB") solutions. Our serial servers (also known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device servers and terminal servers) provide secure and reliable serial port-to-Ethernet integration of most devices into wired Ethernet networks. This means that they are capable of converting data received over TCP/IP networks such as the internet and back; thereby eliminating the need for each device to have a physical connection to a computer. We also offer multiple USB solutions whose primary functions are to connect multiple USB devices, allowing them to work over a wired or wireless network without each device needing to plug into its own host computer. These products also include battery and hardwired options for the control and monitoring of critical infrastructure.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Digi Remote Manager - </w:t>
      </w:r>
      <w:r>
        <w:rPr>
          <w:rFonts w:ascii="Times New Roman" w:cs="Times New Roman" w:eastAsia="Times New Roman" w:hAnsi="Times New Roman"/>
          <w:sz w:val="18"/>
          <w:szCs w:val="18"/>
          <w:color w:val="auto"/>
        </w:rPr>
        <w:t>Digi Remote Manager is a recurring revenue cloud-based service that provides a secure environment for customers to manage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connected device for the full deployment lifecycle. This service enables customers to activate, monitor, diagnose, reset, update and/or upgrade their entire network of mission-critical devices from a single point of command. Through a "single pane of glass," network managers can manage configurations, update firmware, add features and schedule and automate tasks from their desktop, tablet or phone.</w:t>
      </w:r>
    </w:p>
    <w:p>
      <w:pPr>
        <w:spacing w:after="0" w:line="14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7"/>
          <w:szCs w:val="17"/>
          <w:b w:val="1"/>
          <w:bCs w:val="1"/>
          <w:color w:val="auto"/>
        </w:rPr>
        <w:t>Lighthouse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b w:val="1"/>
          <w:bCs w:val="1"/>
          <w:color w:val="auto"/>
        </w:rPr>
        <w:t xml:space="preserve"> Management Software - </w:t>
      </w:r>
      <w:r>
        <w:rPr>
          <w:rFonts w:ascii="Times New Roman" w:cs="Times New Roman" w:eastAsia="Times New Roman" w:hAnsi="Times New Roman"/>
          <w:sz w:val="17"/>
          <w:szCs w:val="17"/>
          <w:color w:val="auto"/>
        </w:rPr>
        <w:t>Lighthouse is a recurring revenue cloud-based service that provides a secure environment for customers to manage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their network devices by providing secure access to remote networks regardless of how they are connected or how a user interacts with the system. Designed with security, scalability and automation in mind, Lighthouse allows engineers to control every aspect of their network through a central hub.</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Technical Services </w:t>
      </w:r>
      <w:r>
        <w:rPr>
          <w:rFonts w:ascii="Times New Roman" w:cs="Times New Roman" w:eastAsia="Times New Roman" w:hAnsi="Times New Roman"/>
          <w:sz w:val="18"/>
          <w:szCs w:val="18"/>
          <w:color w:val="auto"/>
        </w:rPr>
        <w:t>- Our Technical Services provide professional services, data plan subscriptions and enhanced technical support offers to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 services include solution planning and implementation services to customers who purchase our products such as site planning, implementation management, application development and customer training. Data plan subscriptions are offered to customers wishing to enable cellular connectivity on our products. Enhanced technical support provides priority, in-depth technical support consultations with our experienced support team. These services ensure customers get to market quickly, minimize risk, and ensure customer success with their Digi solution.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IoT Solutions Segment</w:t>
      </w:r>
    </w:p>
    <w:p>
      <w:pPr>
        <w:spacing w:after="0" w:line="19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SmartSense by Digi - </w:t>
      </w:r>
      <w:r>
        <w:rPr>
          <w:rFonts w:ascii="Times New Roman" w:cs="Times New Roman" w:eastAsia="Times New Roman" w:hAnsi="Times New Roman"/>
          <w:sz w:val="18"/>
          <w:szCs w:val="18"/>
          <w:color w:val="auto"/>
        </w:rPr>
        <w:t>Our SmartSense by Digi is an end-to-end, cost-effective system that uses sensors, gateways and cloud based applications to enable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 in food service (e.g. super markets, schools and restaurants), healthcare (primarily pharmacies and hospitals) and transportation/logistics to: (i) monitor wirelessly the temperature of food and other perishable or sensitive goods, (ii) monitor facilities or pharmacies by tracking the completion of operating tasks by employees, and (iii) have visibility in the supply chain to product temperature through an end-to-end system for quality control and incident management. Typically, customers receive hardware up-front, including gateways and sensors, and pay for an annual subscription for monitoring sensor data.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Ventus</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Ventus is a leader in providing comprehensive MNaaS solutions that simplify the complexity of both wireless and fixed-line WAN connectivity. With comprehensive end-to-end security, our portfolio includes an array of connectivity applications in the banking, healthcare, retail, gaming, hospitality and other sectors. Supporting ATMs, gaming, point-of-sale, kiosks, digital signing and retail applications, Ventus works closely with its customers to customize innovative long-term MNaaS solutions.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Multiple risk factors exist which could have a material effect on our operations, results of operations, financial position, liquidity, capital resources and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Supply Chain and Freight Transportation Disruptions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we previously disclosed, like many companies, we are experiencing disruptions in our supply chain for a variety of reasons that we believe were initially triggered by the ongoing COVID-19 pandemic and that have now been exacerbated by the ongoing war in Ukraine. Among others these reasons include: labor force disruptions, container ship backlogs, physical container shortages at locations important for the global supply chain, energy disruptions in Europe, China and elsewhere, global increases in inflation and material and component shortages. We also are monitoring policy actions by the Chinese and Russian governments as well as the evolving implementation of economic sanctions against Russia that could cause other disruptions in the supply and production of components and products. Collectively these issues have led to shortfalls in available components we need to make products as well as increased costs to obtain components, to make products and to transport components and products. It has also lengthened the timelines for us to fulfill customer orders. The severity of the disruptions is continuously changing, meaning the impact on our ability to meet demand for particular products in a timely manner has been subject to ebb and flow. Some of these disruptions have been material with respect to certain of our products. We are taking steps to attempt to mitigate the impact of disruptions such as placing inventory demand further out into the future to secure our allocations of components, negotiating and engaging with suppliers to reserve components, encouraging customers to place orders earlier than normal due to longer lead times and attempting (in conjunction with customers) to influence political leaders to assure components needed to make products that are essential to the health and well-being of society are prioritized to our customer’s needs by suppliers. Many of our suppliers are also experiencing supply chain disruptions which in turn disrupt our operations. At present, we are unable to predict neither the duration or severity, nor the impact on our business and financial results of these disruptions, which could be material.</w:t>
      </w:r>
    </w:p>
    <w:p>
      <w:pPr>
        <w:spacing w:after="0" w:line="153"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We depend on manufacturing relationships and on limited-source suppliers, and any disruptions in these relationships may cause damage to our customer relationships.</w:t>
      </w:r>
    </w:p>
    <w:p>
      <w:pPr>
        <w:spacing w:after="0" w:line="133"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7"/>
          <w:szCs w:val="17"/>
          <w:color w:val="auto"/>
        </w:rPr>
        <w:t>We procure all parts and certain services involved in the production of our products and subcontract most of our product manufacturing to outside firms that specialize in such services. Although most of the components of our products are available from multiple vendors, we have several single-source supplier relationships, either because alternative sources are not available or because the relationship is advantageous to us. As an example, Ventus relies almost exclusively on a manufacturer in China for the production of the hardware it provides to its customers. Further, as discussed elsewhere, a range of factors have created stress on many supply chains globally. This has impacted on our own ability to procure certain inventory and services, in both</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of our business segments. Some of these impacts have been material and it is possible additional material impacts could occur in the future. There can be no assurance that our suppliers will be able to meet our future requirements for products and components in a timely fashion. In addition, the availability of many of the components we need is dependent in part on our ability to provide our suppliers with accurate forecasts of our future requirements. Delays or lost revenue could be caused by other factors beyond our control, including late deliveries by vendors of components, or force majeure events. As an example of force majeure, a fire in November 2014 disrupted the operations at one of our contract manufacturers in Thailand. If we are required to identify alternative suppliers for any of our required components, qualification and pre-production periods could be lengthy and may cause an increase in component costs and delays in providing products to customers. Any extended interruption in the supply of any of the key components or the availability of manufacturing services that currently are obtained from limited sources could disrupt our operations and have a material adverse effect on our customer relationships and profitability.</w:t>
      </w:r>
    </w:p>
    <w:p>
      <w:pPr>
        <w:spacing w:after="0" w:line="156"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i w:val="1"/>
          <w:iCs w:val="1"/>
          <w:color w:val="auto"/>
        </w:rPr>
        <w:t>The long and variable sales cycle for certain of our products and services makes it more difficult for us to predict our operating results and manage our business.</w:t>
      </w:r>
    </w:p>
    <w:p>
      <w:pPr>
        <w:spacing w:after="0" w:line="13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The sale of our products and services may require a significant technical evaluation and commitment of capital and other resources by potential customers and end users, as well as delays frequently associated with end users’ internal procedures to deploy new technologies and to test and accept new technologies. For these and other reasons, the sales cycle associated with certain of our products is typically lengthy and is subject to a number of significant risks, such as end users’ internal purchasing reviews, that are beyond our control. Because of the lengthy sales cycle and the large size of certain customer orders, if orders forecasted for a specific customer are not realized or delayed, our operating results could be materially adversely affected.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participation in a services and solutions model, using hardware and cloud-based services, presents execution and competitive risks.</w:t>
      </w:r>
    </w:p>
    <w:p>
      <w:pPr>
        <w:spacing w:after="0" w:line="17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We participate in a services and solutions model that uses both hardware and cloud-based services. Both our SmartSense by Digi and Ventus offerings deploy hardware, software and cloud-based hosting. In other areas of our business we offer hosted services and cloud-based platform, software applications, and supporting products and services. We also employ significant human and financial resources to develop and deploy these offerings. As we work to grow and scale these offerings, these investments have and can adversely impacted our gross margins and profitability and may continue to do so in the future. While we believe we have a strong foundation to compete, it is uncertain whether our strategies will attract the users or generate the revenue required to be successful. Certain customers and potential customers that use these offerings have also been adversely impacted by the COVID-19 pandemic that began in 2020 and the resulting global economic downturn. This could impede our ability to win and retain customers. We have and expect to encounter competition from other solutions providers, some of whom may have more significant resources than us with which to compete. Whether we are successful in this business model depends on a number of factors, including:</w:t>
      </w:r>
    </w:p>
    <w:p>
      <w:pPr>
        <w:spacing w:after="0" w:line="7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the infrastructure to deploy and evolve our solutions effectively and continuously;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features and functionality of our offerings relative to competing offerings as well as our ability to market effectively;</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in successful strategic relationships with third parties such as telecommunications carriers, component makers and systems integrators;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service assurance commitments required by certain contracts;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for market share; and</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deploying complete end-to-end solutions that meet the needs of the marketplace generally as well as the particular requirements of our customers more effectively and efficiently than competitive solutions.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sustain and grow our business depends in large part on the success of our channel partner distributors and resellers.</w:t>
      </w:r>
    </w:p>
    <w:p>
      <w:pPr>
        <w:spacing w:after="0" w:line="17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A substantial portion of our revenue is generated through sales by channel partner distributors and resellers. Further, in recent years we have been taking steps to expand our relationship with certain distributors who have global reach. These expansion efforts may increase the percent of our revenue driven through channel partners or heighten our reliance on certain channel partners to drive sales. To the extent our channel partners are unsuccessful selling our products or if we are unable to obtain and retain a sufficient number of high-quality channel partners, our operating results could be materially and adversely affected. In addition, our channel partners may market, sell and support products and services that are competitive with ours, and may devote more resources to the marketing, sales and support of such products. These channel partners may have incentives to promote our competitors’ products in lieu of our products, particularly for our competitors with larger volumes of orders, more diverse product offerings and longer relationships with our distributors and resellers. It is possible, one or more of our important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channel partners may stop selling our products completely. Our channel partner sales structure could subject us to lawsuits, potential liability and reputational harm if, for example, any of our channel partners misrepresents the functionality of our products or services to customers, or violates laws or our corporate policies. If we fail to manage our existing or future sales channel partners effectively, our business and operating results could be materially and adversely affected.</w:t>
      </w:r>
    </w:p>
    <w:p>
      <w:pPr>
        <w:spacing w:after="0" w:line="14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i w:val="1"/>
          <w:iCs w:val="1"/>
          <w:color w:val="auto"/>
        </w:rPr>
        <w:t>Our sales and operations globally face risks related to health epidemics or pandemics that could disrupt our operations and adversely impact our sales and operating results.</w:t>
      </w:r>
    </w:p>
    <w:p>
      <w:pPr>
        <w:spacing w:after="0" w:line="13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Our business operations and financial results could be adversely affected by the effects of a widespread outbreak of contagious disease or other material adverse widespread public health development, such as the outbreak of the COVID-19 respiratory illness caused by a novel coronavirus first identified in Wuhan, Hubei Province, China in 2020. These effects could include the absence of one or more key employees or significant numbers or employees generally, disruptions or restrictions on our ability to maintain operations at one or more of our facilities, disruptions or restrictions to travel that is important to our operations, adverse impacts on our ability to distribute or deliver our products or services as well as temporary disruptions, restrictions or closures of the facilities of our suppliers or customers and their contract manufacturers. Any of the above absences, disruptions or restrictions could impact our sales and operating results negatively. If these absences, disruptions or restrictions are significant and material it is possible our business continuity could be jeopardized. Depending on the location of any such disruption or restriction, there may not be a solution that will be easy to implement in a timely manner or without significant expense. In addition, any significant outbreak of contagious diseases could materially and adversely affect the economies and financial markets of many countries or the entire world, resulting in an economic downturn that could affect demand for our products, likely impact our operating results and restrain our access to capital from lenders or other sources.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could disrupt our business and seriously harm our financial condition.</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will continue to consider acquisitions of businesses, products or technologies. In the event of any future acquisitions, we could issue stock that would dilute our current stockholders’ percentage ownership, incur additional debt, assume liabilities or incur large and immediate write-offs.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 of any acquired business also involves numerous risks, including but not limited to:</w:t>
      </w:r>
    </w:p>
    <w:p>
      <w:pPr>
        <w:spacing w:after="0" w:line="11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combining the acquired operations, technologies, or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businesses in different countries and cultures;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implementing internal control over financial reporting;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and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in which we have no or limited prior experience;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particularly those of the acquired business</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cannot assure that we will be able to integrate successfully any businesses, products, technologies, or personnel that we have acquired or that we might acquire in the future. Any such integration failure could disrupt our business and have a material adverse effect on our consolidated financial condition and results of operations. Moreover, from time to time, we may enter into negotiations for a proposed acquisition, but be unable or unwilling to consummate the acquisition under consideration. This could cause significant diversion of management’s attention and out-of-pocket expenses for us. We could also be exposed to litigation as a result of any consummated or unconsummated acquisition.</w:t>
      </w:r>
    </w:p>
    <w:p>
      <w:pPr>
        <w:spacing w:after="0" w:line="154"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The businesses of Accelerated, which we acquired in fiscal 2018, Opengear, which we acquired in fiscal 2019, and Ventus, which we acquired in fiscal 2022, are subject to significant customer concentration.</w:t>
      </w:r>
    </w:p>
    <w:p>
      <w:pPr>
        <w:spacing w:after="0" w:line="12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2018, we acquired Accelerated. While Accelerated has many customers, its business historically has been highly dependent on its relationship with a single telecommunications carrier customer. Any disruption or difficulties in securing or renewing contractual relationships with this customer, maintaining such relationship on favorable terms or any other disruption in our business with this customer could have an adverse impact on our business, results of operations, financial condition and prospects.</w:t>
      </w:r>
    </w:p>
    <w:p>
      <w:pPr>
        <w:spacing w:after="0" w:line="13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2019, we acquired Opengear. While Opengear has many customers, its business historically has been significantly concentrated on its relationships with a few large customers. Any disruption or difficulties in securing or renewing contractual relationships with any of these customers, maintaining such relationships on favorable terms or any other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disruption in our business with one or more of these customers could have an adverse impact on our business, results of operations, financial condition and prospects.</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first quarter of fiscal 2022, we acquired Ventus. While Ventus has many customers, its business historically has been significantly concentrated on its relationships with fewer than twenty customers. Any disruption or difficulties in securing or renewing contractual relationships with any of these customers, maintaining such relationships on favorable terms or any other disruption in our business with one or more of these customers could have an adverse impact on our business, results of operations, financial condition and prospects.</w:t>
      </w:r>
    </w:p>
    <w:p>
      <w:pPr>
        <w:spacing w:after="0" w:line="13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 addition, some larger customers may demand discounts and rebates. As a result, our future revenue opportunities may be limited, and we may face pricing pressures, which in turn could adversely impact our gross margin and our profitability. The loss of, reduction in, or pricing discounts associated with orders from any key customer would significantly reduce our revenue and harm our business. Furthermore, delays in payment and/or extended payment terms from any of our key or larger customers could have a material negative impact on our cash flows and working capital to support our business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SmartSense by Digi remains subject to the risks faced by a business operating in an emerging market.</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SmartSense by Digi primarily was formed through acquisitions of four businesses, the last of which was completed in October 2017, and is operated in an emerging market where technology based solutions to monitor the condition of perishable goods as well as the competition of employee tasks have not been used historically. The operation of SmartSense by Digi will be subject to significant additional risks that are not necessarily related to our legacy products and services.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risks that relate to SmartSense by Digi, include, but are not limited to:</w:t>
      </w:r>
    </w:p>
    <w:p>
      <w:pPr>
        <w:spacing w:after="0" w:line="117" w:lineRule="exact"/>
        <w:rPr>
          <w:sz w:val="20"/>
          <w:szCs w:val="20"/>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SmartSense by Digi offerings are deployed in part to help assure perishable goods are safely preserved. This presents a potential risk of loss in the event of a malfunction or failure of our offerings.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SmartSense by Digi has a limited history with us in a marketplace that is nascent in its development and has numerous competitors. We cannot provide assurances we will be successful in operating and continuing to grow this business.</w:t>
      </w:r>
    </w:p>
    <w:p>
      <w:pPr>
        <w:spacing w:after="0" w:line="53"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succeed with the SmartSense by Digi offerings will depend in large part on our ability to provide customers with hardware and software products that are easy to deploy and offer features and functionality that address the needs of particular businesses. The customer desire for ease of deployment has been heightened by the COVID-19 pandemic that commenced during 2020. We may face challenges and delays in the development of this business as the marketplace for products and services evolves to meet the needs and desires of customers.</w:t>
      </w:r>
    </w:p>
    <w:p>
      <w:pPr>
        <w:spacing w:after="0" w:line="13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light of these risks and uncertainties, we may not be able to establish or maintain the market share of SmartSense by Digi, integrate it successfully into our other operations or take full advantage of businesses we have acquired or may acquire in the future. There can be no assurance that we will recover our investments in SmartSense by Digi or that we will realize significant and consistent profits from this business. Also, there can be no assurance that diverting our management’s attention to this business will not have a material adverse effect on our other existing businesses, any of which may have a material adverse effect on our results of operations, financial condition and prospects.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Foreign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use of suppliers in other parts of the world involves risks that could negatively impact us.</w:t>
      </w:r>
    </w:p>
    <w:p>
      <w:pPr>
        <w:spacing w:after="0" w:line="18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We purchase a number of components from suppliers in other parts of the world. Product delivery times may be extended due to the distances involved, requiring more lead time in ordering. In addition, ocean freight delays may occur as a result of labor problems, weather delays, expediting orders for third parties or customs issues. Any extended delay in receipt of the component parts could eliminate anticipated cost savings and have a material adverse effect on our customer relationships and profitability. Governments continue to impose tariffs on various products and components which may impact the pricing of certain components and inventories and could have a material adverse effect on our competitive standing in the marketplace and our financial results. Potential power outages, most notably in recent times in Asia and Europe could also have a material adverse effect ability to obtain components for our products from our foreign suppliers. Additional challenges could occur if these suppliers allocate materials and components to other customers. The Chinese government in recent years has implemented policies that adversely have impacted various industries in that nation and it is possible they may take actions in the future that are adverse to suppliers who we rely upon. Finally, sanctions against and actions of the Russian government resulting from the war in Ukraine may be adverse to suppliers who we rely upon.</w:t>
      </w:r>
    </w:p>
    <w:p>
      <w:pPr>
        <w:spacing w:after="0" w:line="157" w:lineRule="exact"/>
        <w:rPr>
          <w:sz w:val="20"/>
          <w:szCs w:val="20"/>
          <w:color w:val="auto"/>
        </w:rPr>
      </w:pPr>
    </w:p>
    <w:p>
      <w:pPr>
        <w:ind w:right="580"/>
        <w:spacing w:after="0" w:line="284" w:lineRule="auto"/>
        <w:rPr>
          <w:sz w:val="20"/>
          <w:szCs w:val="20"/>
          <w:color w:val="auto"/>
        </w:rPr>
      </w:pPr>
      <w:r>
        <w:rPr>
          <w:rFonts w:ascii="Times New Roman" w:cs="Times New Roman" w:eastAsia="Times New Roman" w:hAnsi="Times New Roman"/>
          <w:sz w:val="18"/>
          <w:szCs w:val="18"/>
          <w:i w:val="1"/>
          <w:iCs w:val="1"/>
          <w:color w:val="auto"/>
        </w:rPr>
        <w:t>We face risks associated with our international operations that could impair our ability to grow our revenue abroad as well as our overall financial condition.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Our future growth may be dependent in part upon our ability to increase sales in international markets. These sales are subject to a variety of risks, including fluctuations in currency exchange rates, tariffs, import restrictions and other trade barriers, unexpected changes in regulatory requirements, longer accounts receivable payment cycles, potentially adverse tax consequences, and export license requirements. In addition, we are subject to the risks inherent in conducting business internationally, including political and economic instability and unexpected changes in diplomatic and trade relationships. In many markets where we operate business and cultural norms are different than those in the United States and practices that may violate laws and regulations applicable to us like the Foreign Corrupt Practices Act ("FCPA") and the UK Anti-Bribery Act ("UKBA") are more commonplace. Although we have implemented policies and procedures with the intention of ensuring compliance with these laws and regulations, our employees, contractors and agents, as well as channel partners involved in our international sales, may take actions in violation of our policies. Many of our vendors and strategic business allies also have international operations and are subject to the risks described above. Even if we are able to successfully manage the risks of international operations, our business may be adversely affected if one or more of our business partners are not able to successfully manage these risks. There can be no assurance that one or more of these factors will not have a material adverse effect on our business strategy and financial condition.</w:t>
      </w:r>
    </w:p>
    <w:p>
      <w:pPr>
        <w:spacing w:after="0" w:line="140"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i w:val="1"/>
          <w:iCs w:val="1"/>
          <w:color w:val="auto"/>
        </w:rPr>
        <w:t>Our failure to comply effectively with regulatory laws pertaining to our foreign operations could have a material adverse effect on our revenue and profitability.</w:t>
      </w:r>
    </w:p>
    <w:p>
      <w:pPr>
        <w:spacing w:after="0" w:line="13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We are required to comply with U.S. government export regulations in the sale of our products to foreign customers, including requirements to properly classify and screen our products against a denied parties list prior to shipment. We are also required to comply with the provisions of the FCPA and all other anti-corruption laws, such as UKBA, of all other countries in which we do business, directly or indirectly, including compliance with the anti-bribery prohibitions and the accounting and recordkeeping requirements of this law. Violations of the FCPA or other similar laws could trigger sanctions, including ineligibility for U.S. government insurance and financing, as well as large fines. Failure to comply with the aforementioned regulations could also deter us from selling our products in international jurisdictions, which could have a material adverse effect on our revenue and profitability.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and Reputational Risks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face intense competition from established companies that may have significant advantages over us and our products.</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market for our products is intensely competitive. Certain of our competitors and potential competitors have or may develop greater financial, technological, manufacturing, marketing and personnel resources than us either generally or relative to the product sets they sell in competition to us. Further, there are numerous companies competing with us in various segments of the market for our products, and their products may have advantages over our products in areas such as conformity to existing and emerging industry standards, interoperability with other products, management and security capabilities, performance, price, ease of use, scalability, reliability, flexibility, product features and technical support.</w:t>
      </w:r>
    </w:p>
    <w:p>
      <w:pPr>
        <w:spacing w:after="0" w:line="15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current and potential competitors have or may develop one or more of the following significant advantages over us in the product areas where they compete with us:</w:t>
      </w:r>
    </w:p>
    <w:p>
      <w:pPr>
        <w:spacing w:after="0" w:line="5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tighter focus on an individual product or product category;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technical and marketing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barriers to transition to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brand recognition across larger geographic regions;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comprehensive product features and functionality;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longer-standing cooperative relationships with OEM and end-user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customer service capacity and quality;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operating history;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customer base.</w:t>
      </w:r>
    </w:p>
    <w:p>
      <w:pPr>
        <w:spacing w:after="0" w:line="18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cannot provide assurance that we will be able to compete successfully with our current and potential competitors. Such competitors may be able to more quickly develop or adapt to new or emerging technologies and changes in customer requirements or devote greater resources to the development, promotion and sale of their products. Additionally, it is probable that new competitors or new alliances among existing competitors could emerge and rapidly acquire significant market share.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Our dependence on new product development and the rapid technological change that characterizes our industry make us susceptible to loss of market share resulting from competitors’ product introductions and enhancements, service capabilities and similar risks.</w:t>
      </w:r>
    </w:p>
    <w:p>
      <w:pPr>
        <w:spacing w:after="0" w:line="1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industry is characterized by rapidly changing technologies, evolving industry standards, frequent new product introductions, short product life cycles in certain instances and rapidly changing customer requirements. The introduction of products and enhancements embodying new technologies that can disrupt one or more markets in which we compete and the emergence of new industry standards or regulations impacting our industry can render existing products obsolete or unmarketable.</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future success will depend on our ability to enhance our existing products, to introduce new products to meet changing customer requirements and emerging technologies, and to demonstrate the performance advantages and cost-effectiveness of our products over competing products. Failure by us to modify our products to support new alternative technologies or failure to achieve widespread customer acceptance of such modified products could cause us to lose market share and cause our revenue to decline. Further, if our competitors offer better service capabilities associated with the implementation and use of their products, our business could be impacted negatively.</w:t>
      </w:r>
    </w:p>
    <w:p>
      <w:pPr>
        <w:spacing w:after="0" w:line="14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experience delays in developing and marketing product enhancements or new products that respond to technological change, evolving industry standards or regulations and changing customer requirements. There can be no assurance that we will not experience difficulties that could delay or prevent the successful development, introduction, and marketing of these products or product enhancements, or that our new products and product enhancements will meet the requirements of the marketplace adequately and achieve any significant or sustainable degree of market acceptance in existing or additional markets. In addition, the future introductions or announcements of products by us or one of our competitors embodying new technologies or changes in industry standards or regulations or customer requirements could render our then-existing products obsolete or unmarketable. This risk may become more pronounced as new competitors emerge in markets where we sell our products, especially if these competitors have more resources than us to develop and market new products and technologies and provide related services. There can be no assurance that the introduction or announcement of new product offerings by us or one or more of our competitors will not cause customers to defer their purchase of our existing products, which could cause our revenue to decline.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failure to compete successfully in our highly competitive market could result in reduced prices and loss of market share.</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market in which we operate is characterized by rapid technological advances and evolving industry standards. The market can be affected significantly by new product introductions and marketing activities of industry participants. In addition, the amount of competition we face in the marketplace may change and grow as the market for our industry grows and new entrants enter the marketplace. Present and future competitors may be able to identify new markets and develop products more quickly, which are superior to those developed by us. Such competitors may adapt new technologies faster, devote greater resources to research and development, promote products more aggressively and price products more competitively than us. Competition may also intensify, or we may no longer be able to compete effectively in the markets in which we compete.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Risks</w:t>
      </w:r>
    </w:p>
    <w:p>
      <w:pPr>
        <w:spacing w:after="0" w:line="20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i w:val="1"/>
          <w:iCs w:val="1"/>
          <w:color w:val="auto"/>
        </w:rPr>
        <w:t>We intend to continue to devote significant resources to our research and development, which, if not successful, could cause a decline in our revenue and harm our business.</w:t>
      </w:r>
    </w:p>
    <w:p>
      <w:pPr>
        <w:spacing w:after="0" w:line="12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intend to continue to devote significant resources to research and development in the coming years to enhance our existing product offerings and develop additional product offerings. For fiscal 2022, 2021, and 2020, respectively, our research and development expenses were 14.2%, 15.1% and 15.7% of our revenue. If we are unable to enhance existing products and develop new products, applications and services as a result of our research and development efforts, if we encounter delays in deploying these enhanced or new products, applications and services, or if the products, applications and services we enhance or develop are not successful, our business could be harmed. Even if we enhance existing products and develop new products, applications and services that are accepted by our target markets, the net revenue from these products, applications and services may not be sufficient to justify our investment in research and development.</w:t>
      </w:r>
    </w:p>
    <w:p>
      <w:pPr>
        <w:spacing w:after="0" w:line="14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Many of our products, applications and services have been developed through a combination of internally developed technologies and acquired technologies. Our ability to continue to develop products, applications and services could be partially dependent on finding and acquiring new technologies in the marketplace. Even if we identify new technologies that we believe would be complementary to our internally developed technologies, we may not be successful in obtaining those technologies or integrating them effectively with our existing technologies.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600"/>
        <w:spacing w:after="0" w:line="267" w:lineRule="auto"/>
        <w:rPr>
          <w:sz w:val="20"/>
          <w:szCs w:val="20"/>
          <w:color w:val="auto"/>
        </w:rPr>
      </w:pPr>
      <w:r>
        <w:rPr>
          <w:rFonts w:ascii="Times New Roman" w:cs="Times New Roman" w:eastAsia="Times New Roman" w:hAnsi="Times New Roman"/>
          <w:sz w:val="18"/>
          <w:szCs w:val="18"/>
          <w:i w:val="1"/>
          <w:iCs w:val="1"/>
          <w:color w:val="auto"/>
        </w:rPr>
        <w:t>Our ability to grow our business is dependent in part on strategic relationships we develop and maintain with third parties as well as our ability to integrate and assure use of our products and services in coordination with the products and services of certain strategic partners in a commercially acceptable manner.</w:t>
      </w:r>
    </w:p>
    <w:p>
      <w:pPr>
        <w:spacing w:after="0" w:line="14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believe that our ability to increase our sales depends in part on maintaining and strengthening relationships with parties such as telecommunications carriers, systems integrators, enterprise application providers, component providers and other strategic technology companies. Once a relationship is established, we likely will dedicate significant time and resources to it in an effort to advance our business interests and there is no assurance any strategic relationship will generate enough revenue to offset the significant resources we use to advance the relationship. Parties with whom we establish strategic relationships also work with companies that compete with us. We have limited, if any, control as to whether these parties devote adequate resources to promoting, selling, and implementing our products. Further, new or emerging technologies, technological trends or changes in customer requirements may result in certain companies with whom we maintain strategic relationships de-emphasizing their dealings with us or becoming potential competitors in the future. We also have limited, if any, control as to other business activities of these parties and we could experience reputational harm because of our association with such parties if they fail to execute on business initiatives, are accused of breaking the law or otherwise suffer reputational harm for other reasons. All of these factors could materially and adversely impact our business and results of operations.</w:t>
      </w:r>
    </w:p>
    <w:p>
      <w:pPr>
        <w:spacing w:after="0" w:line="15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some cases, we expect the establishment of a strategic relationship with a third party to result in integrations of our products or services with those of other parties. Identifying appropriate parties for these relationships as well as negotiating and documenting business agreements with them requires significant time and resources. We expect these agreements typically to be non-exclusive and not to prohibit the other party from working with our competitors or offering competing services. Once the relationship is established, we may encounter difficulties in combining our products and services in a commercially acceptable manner. We expect this dynamic, where our ability to generate sales is dependent on our products and services interacting with those sold by third parties, may become more common in the future. There can be no guarantee in any particular instance that we will be successful in making our products interact with those of other parties in a commercially acceptable manner and, even if we do, we cannot guarantee that the resulting products and services will be effectively marketed or sold via the relationship.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failure to anticipate or manage product transitions effectively could have a material adverse effect on our revenue and profitability.</w:t>
      </w:r>
    </w:p>
    <w:p>
      <w:pPr>
        <w:spacing w:after="0" w:line="20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we or our competitors may announce new or enhanced products that may replace or shorten the life cycles of our existing products. Announcements of currently planned or other new or enhanced products may cause customers to defer or stop purchasing our products until these products become available. Furthermore, the introduction of new or enhanced products requires us to manage the transition from older product inventories and ensure that adequate supplies of new or enhanced products can be delivered to meet customer demand. Our failure to anticipate the revenue declines associated with older products or manage transitions from older products effectively could result in inventory obsolescence and also have a material adverse effect on our revenue and profitability.</w:t>
      </w:r>
    </w:p>
    <w:p>
      <w:pPr>
        <w:spacing w:after="0" w:line="145"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We are dependent on third parties to manufacture our products which could have adverse impacts on our business if such manufacturers encounter operating restraints or if we do not properly forecast customer demand.</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reliant on third parties to manufacture our products in countries such as China, Mexico and Thailand. The ability of these manufacturers to provide us with the timely provision of finished products is subject to a number of disruptions beyond their control such as, among others: the availability of components from suppliers, labor shortages such as those caused by the ongoing COVID-19 pandemic, energy shortages such as those from time to time encountered in China, changes in government regulations or other factors. If we do not properly forecast customer demands for products any lengthening in lead times or disruptions in service could result in lost revenues and adversely impact our business, results of operation, financial condition and prospects.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loss of key personnel could prevent us from executing our business strategy.</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and prospects depend to a significant degree upon the continuing contributions of our executive officers and key technical and other personnel. Competition for such personnel is intense, and in the current environment of large numbers of workers leaving their current employment for new opportunities, there can be no assurance that we will be successful in retaining qualified personnel. Failure to attract and retain key personnel could result in our failure to execute our business strategy.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Economic and Market Conditions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consolidated operating results and financial condition may be adversely impacted by worldwide economic conditions and credit tightening.</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worldwide economic conditions experience a significant downturn, these conditions may make it difficult or impossible for our customers and suppliers to accurately forecast and plan future business activities, which may cause them to slow or suspend spending on products and services. Our customers may find it difficult to gain sufficient credit in a timely manner, which could result in an impairment of their ability to place orders with us or to make timely payments to us for previous purchases. If this occurs, our revenue may be reduced, thereby having a negative impact on our results of operations. In addition, we may be forced to increase our allowance for credit losses and our days sales outstanding may increase, which would have a negative impact on our cash position, liquidity and financial condition. To the extent we incur debt, we may be unable to adhere to financial covenants or to service the debt. We cannot predict either the timing or duration of an economic downturn in the economy, should one occur. Any downturn could have a material adverse impact on our business, results of operations, financial condition and prospects.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gross margins may be subject to decline.</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gross margins may be subject to declines which could decrease our overall profitability and impact our financial performance adversely. Some of the hardware products we sell are approaching the end of their product life cycles. These mature hardware products have sold historically at higher gross margins than our other product and service offerings. We expect this general trend of declining sales for many of our mature products to continue and the pace of the decline may accelerate. In addition, rising prices for goods and services due to inflation along with ongoing cost pressures in our industry create downward pressure on the prices at which we and other manufacturers can sell hardware products. We have indicated that we would be willing to realize lower levels of gross margins from customers in return for long-term, binding purchase commitments. If this strategy were successful, it could apply downward pressure on our gross margins. While part of our longer term strategy is to sell software applications and IoT solutions such as SmartSense by Digi and Ventus offerings, which may provide recurring revenues at relatively high gross margins, these types of offerings are still at early stages of adoption by customers and their sales growth is not necessarily predictable or assured. As such, our gross margins may be subject to decline unless we can implement cost reduction initiatives effectively to offset the impact of these factors.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revenue may be subject to fluctuations based on the level of significant large project-based purchases.</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No single customer has represented more than 10% of our revenue in any of the last three fiscal years. However, many of our customers make significant one-time hardware purchases for large projects that are not repeated. As a result, our revenue may be subject to significant fluctuations based on whether we are able to close significant project based sales opportunities. In addition, in our SmartSense by Digi and Ventus businesses certain customers have outsized deployments relative to other customers. It is possible we will see revenue fluctuations in this business based upon the scale of new deployments in different financial periods. Our failure to complete one or a series of significant sales opportunities in a particular fiscal period could have a material adverse effect on our revenue for that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Some of our products are sold into mature markets, which could limit our ability to continue to generate revenue from these products.</w:t>
      </w:r>
    </w:p>
    <w:p>
      <w:pPr>
        <w:spacing w:after="0" w:line="20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Some of our hardware products are sold into mature markets that are characterized by a trend of declining demand. We have made targeted investments to provide enhanced and new products into these mature markets and believe this may mitigate declining demand. However, over the longer term, the overall market for these hardware products is expected to decrease due to the adoption of new technologies. As such, we expect that our revenue from these products will continue to decline over time. As a result, our future prospects depend in part on our ability to acquire or develop and successfully market additional products that address growth markets.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Unanticipated changes in our tax rates could affect our future results.</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future effective tax rates could be favorably or unfavorably affected by unanticipated changes in the mix of earnings in countries with differing statutory tax rates, changes in the valuation of our deferred tax assets and liabilities, or by changes in tax laws or our interpretation of such laws. In addition, we may be subject to the examination of our income tax returns by the Internal Revenue Service and other U.S. and international tax authorities. We regularly assess the potential outcomes resulting from these examinations to determine the adequacy of our provision for income taxes. There can be no assurance that the outcomes from these examinations will not have an adverse effect on our consolidated operating results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have additional tax liabilities.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United States and many foreign jurisdictions. Significant judgment is required in determining our worldwide provision for income taxes, including our reserves for uncertain tax positions. In the ordinary course of business, there are many transactions and calculations where the ultimate tax determination is uncertain. We regularly are under audit by tax authorities. Although we believe our tax estimates are reasonable, the final determination of tax audits could be materially different from our historical income tax provisions and accruals. The results of an audit could have a material effect on our consolidated financial position, results of operations, or cash flows in the period or periods for which that determination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and Liquidity Risks</w:t>
      </w:r>
    </w:p>
    <w:p>
      <w:pPr>
        <w:spacing w:after="0" w:line="200"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Failure to comply with the covenants under our credit facility may have a material adverse effect on our ability to access additional capital and/or create an event of default.</w:t>
      </w:r>
    </w:p>
    <w:p>
      <w:pPr>
        <w:spacing w:after="0" w:line="12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December 22, 2021, Digi entered into a third amended and restated credit agreement, which amended and restated the second amended and restated credit agreement entered into on November 1, 2021, consisting of a $350 million term loan B secured loan (the "Term Loan") and a $35 million revolving credit facility (the "Revolving Credit Facility", and together with the Term Loan, the "Loan"). This Loan replaced our syndicated senior secured credit agreement with BMO that was entered into on March 15, 2021 and replaced the remaining balances of our term loan and revolver. The $35 million revolving credit facility, which presently is undrawn, includes a $10 million letter of credit subfacility and $10 million swingline subfacility. Amounts under the Term Loan are being repaid in quarterly installments on the last day of each fiscal quarter, with an annual amortization rate of 5% of the original aggregate principal amount of the term loans, commencing on June 30, 2022. The remaining outstanding balance under the Term Loan is due to be repaid in full after seven years.</w:t>
      </w:r>
    </w:p>
    <w:p>
      <w:pPr>
        <w:spacing w:after="0" w:line="15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If we are unable to generate sufficient cash flow or otherwise obtain funds necessary to make required payments on the Loan, we will be in default. We are also required to comply with several financial covenants under the Credit Agreement. Our ability to comply with such financial covenants may be affected by events beyond our control, which could result in a default under the Credit Agreement; such default may have a material adverse effect on our business, financial condition, operating results or cash flows.</w:t>
      </w:r>
    </w:p>
    <w:p>
      <w:pPr>
        <w:spacing w:after="0" w:line="15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Term Loan contains some affirmative covenants and the Revolving Credit Facility contains customary affirmative and negative covenants, including covenants that restrict the ability of Digi and its subsidiaries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These restrictions could adversely affect our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Negative conditions in the global credit markets may impair a portion of our investment portfolio.</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investment portfolio may consist of certificates of deposit, commercial paper, money market funds, corporate bonds and government municipal bonds. These marketable securities are classified as available-for-sale and are carried at fair market value. Some of our investments could experience reduced liquidity and could result in an impairment charge should the impairment be considered as other-than-temporary. This loss would be recorded in our consolidated statements of operations, which could materially adversely impact our consolidated results of operations and financial condition.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Cybersecurity Risks</w:t>
      </w:r>
    </w:p>
    <w:p>
      <w:pPr>
        <w:spacing w:after="0" w:line="187"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We are subject to various cybersecurity risks, which are particularly acute in cloud-based technologies that we and other third parties operate that form a part of our solutions. These risks may increase our costs and could damage our brand and reputation.</w:t>
      </w:r>
    </w:p>
    <w:p>
      <w:pPr>
        <w:spacing w:after="0" w:line="12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we continue to direct a substantial portion of our sales and development efforts toward broader based solutions, such as SmartSense by Digi, the Digi Remote Manager and Ventus offerings, we expect to store, convey and potentially process significant amounts of data produced by devices. Further many of our business applications now exist within cloud platforms that are managed by third parties, which also adds risk from breach of third parties.</w:t>
      </w:r>
    </w:p>
    <w:p>
      <w:pPr>
        <w:spacing w:after="0" w:line="1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data may include confidential or proprietary information, intellectual property or personally identifiable information of our customers or other third parties with whom they do business. It is important for us to maintain solutions and related infrastructure that are perceived by our customers and other parties with whom we do business as providing reasonable levels of reliability and security. Despite available security measures and other precautions, the infrastructure and transmission methods used by our products and services may be vulnerable to interception, attack or other disruptive problems. Continued high-profile data breaches at other companies evidence an external environment that is becoming increasingly hostile to information security. Improper disclosure of data or a perception that our data security is insufficient could harm our reputation, give rise to legal proceedings or subject our company to liability under laws that protect data, which may evolve and expand in scope over time. Any of these factors could result in increased costs and loss of revenue for us.</w:t>
      </w:r>
    </w:p>
    <w:p>
      <w:pPr>
        <w:spacing w:after="0" w:line="1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a cyberattack or other security incident were to allow unauthorized access to or modification of our customers’ data or our own data, whether due to a failure with our systems or related systems operated by third parties, we could suffer damage to our brand and reputation.</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costs we would incur to address and fix these incidents could significantly increase our expenses. These types of security incidents could also lead to lawsuits, regulatory investigations and increased legal liability, including in some cases contractual costs related to customer notification and fraud monitoring. Further, as the regulatory focus on privacy and data security issues continues to increase and worldwide laws and regulations concerning the protection of information become more complex, the potential risks and costs of compliance to our business are expected to intensify.</w:t>
      </w:r>
    </w:p>
    <w:p>
      <w:pPr>
        <w:spacing w:after="0" w:line="15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products operate with and are dependent on products and components across a broad ecosystem. If there is a security vulnerability in one of these components, and if there is a security exploit targeting it, we could face increased costs, reduced revenue, liability claims or damage to our reputation or competitive position.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ability to compete could be jeopardized if we are unable to protect our intellectual property rights.</w:t>
      </w:r>
    </w:p>
    <w:p>
      <w:pPr>
        <w:spacing w:after="0" w:line="20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compete depends in part on our proprietary rights and technology. Our proprietary rights and technology are protected by a combination of copyrights, patents, trade secrets and trademarks. We enter into confidentiality agreements with our employees, and sometimes with our customers, potential customers and other third parties, and limit access to the distribution of our proprietary information. There can be no assurance that the steps taken by us in this regard will be adequate to prevent the misappropriation of our technology. Our pending patent applications may be denied and any patents, once issued, may be circumvented by our competitors. Furthermore, there can be no assurance that others will not develop technologies that are superior to our technologies. Despite our efforts to protect our proprietary rights, unauthorized parties may attempt to copy aspects of our products or to obtain and use information that we regard as proprietary. In addition, the laws of some foreign countries do not protect our proprietary rights as fully as do the laws of the United States. There can be no assurance that our means of protecting our proprietary rights in the United States or abroad will be adequate or that competing companies will not independently develop similar technologies. Our failure to adequately protect our proprietary rights could have a material adverse effect on our competitive position and our business.</w:t>
      </w:r>
    </w:p>
    <w:p>
      <w:pPr>
        <w:spacing w:after="0" w:line="152"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From time to time, we are subject to claims and litigation regarding intellectual property rights or other claims, which could seriously harm us and require us to incur significant costs.</w:t>
      </w:r>
    </w:p>
    <w:p>
      <w:pPr>
        <w:spacing w:after="0" w:line="12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communications technology industry is characterized by frequent litigation regarding patent and other intellectual property rights. From time to time, we receive notification of a third-party claim that our products infringe intellectual property rights owned by others. Any litigation to determine the validity of third-party infringement claims, whether or not determined in our favor or settled by us, may be costly and divert the efforts and attention of our management and technical personnel from productive tasks. This could have a material adverse effect on our ability to operate our business and service the needs of our customers. There can be no assurance that any infringement claims by third parties, regardless if they have merit, will not materially adversely affect our business, operating results, financial condition or prospects. In the event of an adverse ruling in any such matter, we may be required to pay substantial damages, cease the manufacture, use and sale of infringing products, discontinue the use of certain processes or be required to obtain a license under the intellectual property rights of the third party claiming infringement. There can be no assurance that a license would be available on reasonable terms or at all. Any limitations on our ability to market our products, or delays and costs associated with redesigning our products or payments of license fees to third parties, or any failure by us to develop or license a substitute technology on commercially reasonable terms could have a material adverse effect on our business, operating results and financial condition.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and Political Risks</w:t>
      </w:r>
    </w:p>
    <w:p>
      <w:pPr>
        <w:spacing w:after="0" w:line="187"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Our inability to obtain the appropriate telecommunications carrier certifications or approvals from governmental regulatory bodies could impede our ability to grow revenue in our wireless products.</w:t>
      </w:r>
    </w:p>
    <w:p>
      <w:pPr>
        <w:spacing w:after="0" w:line="12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sale of our wireless products in certain geographical markets is sometimes dependent on the ability to gain telecommunications carrier certifications and/or approvals by certain governmental bodies. Failure to obtain these approvals, or delays in receiving the approvals, could impact our ability to enter our targeted markets or to compete effectively or at all in these markets and could have an adverse impact on our business and prospects.</w:t>
      </w:r>
    </w:p>
    <w:p>
      <w:pPr>
        <w:spacing w:after="0" w:line="147"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Our failure to comply effectively with the requirements of applicable environmental legislation and regulation could have a material adverse effect on our revenue and profitability.</w:t>
      </w:r>
    </w:p>
    <w:p>
      <w:pPr>
        <w:spacing w:after="0" w:line="12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Production and marketing of products in certain states and countries may subject us to environmental and other regulations. In addition, certain states and countries may pass new regulations requiring our products to meet certain requirements to use environmentally friendly components. The European Union has issued two directives relating to chemical substances in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electronic products. The Waste Electrical and Electronic Equipment Directive makes producers of certain electrical and electronic equipment financially responsible for collection, reuse, recycling, treatment and disposal of equipment placed in the European Union market. The Restrictions of Hazardous Substances Directive bans the use of certain hazardous materials in electric and electrical equipment which are put on the market in the European Union. In the future, various countries including the United States may adopt further environmental compliance programs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we fail to comply with these regulations, we may not be able to sell our products in jurisdictions where these regulations apply, which could have a material adverse effect on our revenue and profitability.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87"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18"/>
          <w:szCs w:val="18"/>
          <w:i w:val="1"/>
          <w:iCs w:val="1"/>
          <w:color w:val="auto"/>
        </w:rPr>
        <w:t>Unsolicited takeover proposals, governance change proposals, proxy contests and resulting litigation may adversely impact our operations, create uncertainty and affect the market price and volatility of our securities.</w:t>
      </w:r>
    </w:p>
    <w:p>
      <w:pPr>
        <w:spacing w:after="0" w:line="12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2017, we received an unsolicited takeover proposal and other companies in our industry have been the target of unsolicited takeover proposals in the past. In the event that a third party, such as a competitor, private equity firm or activist investor makes an unsolicited takeover proposal or proposes to change our governance policies or board of directors, or makes other proposals concerning our ownership structure or operations, our review and consideration of such proposals may be a significant distraction for our management and employees, and could require us to expend significant time and resources. Such proposals may create uncertainty for our employees and this uncertainty may adversely affect our ability to retain key employees, to hire new talent or to complete acquisitions we may desire to make. Similar uncertainty among our customers, suppliers and other business partners could cause them to terminate, or not to renew or enter into, arrangements with us. Certain proposals may result in costly proxy contests or litigation that can disrupt our business operations or result in an adverse effect on our operating results. Management and employee distraction related to any such proposals also may adversely impact our ability to conduct our business optimally and pursue our strategic objectives. Such proposals, or their withdrawal, could create uncertainty among investors and potential investors as to our future direction and affect the market price of our common stock without regard to our operational or financial performance.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provisions of the Delaware General Corporation Law and our charter documents have an anti-takeover effect.</w:t>
      </w:r>
    </w:p>
    <w:p>
      <w:pPr>
        <w:spacing w:after="0" w:line="18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There exist certain mechanisms under the Delaware General Corporation Law and our charter documents that may delay, defer or prevent a change of control. For instance, under Delaware law, we are prohibited from engaging in certain business combinations with interested stockholders for a period of three years after the date of the transaction in which the person became an interested stockholder unless certain requirements are met, and majority stockholder approval is required for certain business combination transactions with interested parties.</w:t>
      </w:r>
    </w:p>
    <w:p>
      <w:pPr>
        <w:spacing w:after="0" w:line="13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contains a "fair price" provision requiring majority stockholder approval for certain business combination transactions with interested parties, and this provision may not be changed without the vote of at least 80% of the outstanding shares of our voting stock. Other mechanisms in our charter documents may also delay, defer or prevent a change of control. For instance, our Certificate of Incorporation provides that our Board of Directors has authority to issue series of our preferred stock with such voting rights and other powers as the Board of Directors may determine. Furthermore, we have a classified board of directors, which means that our directors are divided into three classes that are elected to three-year terms on a staggered basis. Since the three-year terms of each class overlap the terms of the other classes of directors, the entire board of directors cannot be replaced in any one year. Under Delaware law, directors serving on a classified board may not be removed by shareholders except for cause. The effect of these anti-takeover provisions may deter business combination transactions not approved by our Board of Directors, including acquisitions that may offer a premium over the market price to some or all stockholders.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price of our common stock has been volatile and could continue to fluctuate in the future.</w:t>
      </w:r>
    </w:p>
    <w:p>
      <w:pPr>
        <w:spacing w:after="0" w:line="18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market price of our common stock, like that of many other high-technology companies, has fluctuated significantly and is likely to continue to fluctuate in the future. During fiscal 2022, the closing price of our common stock on the Nasdaq Global Select Market ranged from $18.54 to $37.44 per share. Our closing sale price on November 17, 2022 was $39.50 per share. Announcements by us or others regarding the receipt of customer orders, quarterly variations in operating results, departures of key personnel, acquisitions or divestitures, additional equity or debt financings, results of customer field trials, scientific discoveries, technological innovations, litigation, product developments, patent or proprietary rights, government regulation and general market conditions and risks may, for example, have a significant impact on the market price of our common stock.</w:t>
      </w:r>
    </w:p>
    <w:p>
      <w:pPr>
        <w:spacing w:after="0" w:line="145" w:lineRule="exact"/>
        <w:rPr>
          <w:sz w:val="20"/>
          <w:szCs w:val="20"/>
          <w:color w:val="auto"/>
        </w:rPr>
      </w:pPr>
    </w:p>
    <w:p>
      <w:pPr>
        <w:ind w:right="440"/>
        <w:spacing w:after="0" w:line="284" w:lineRule="auto"/>
        <w:rPr>
          <w:sz w:val="20"/>
          <w:szCs w:val="20"/>
          <w:color w:val="auto"/>
        </w:rPr>
      </w:pPr>
      <w:r>
        <w:rPr>
          <w:rFonts w:ascii="Times New Roman" w:cs="Times New Roman" w:eastAsia="Times New Roman" w:hAnsi="Times New Roman"/>
          <w:sz w:val="18"/>
          <w:szCs w:val="18"/>
          <w:i w:val="1"/>
          <w:iCs w:val="1"/>
          <w:color w:val="auto"/>
        </w:rPr>
        <w:t>If our stock price declines over a sustained period of time, our profits significantly decrease or our acquired businesses do not attain results that were anticipated at the time of acquisition, we may need to recognize an impairment of our goodwill.</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price of our common stock could decline. If such a decline continued over a sustained period of time, we could have an impairment of our goodwill. Our market value is dependent upon certain factors, including continued future growth of our products, services and solutions. If such growth does not materialize or our forecasts are not met (including forecasts established at the time of acquisition), our profits could be significantly reduced, and our market value may decline, which could result in an impairment of our goodwill. As discussed in other risk factors, there could be circumstances beyond our control that could exacerbate the conditions that would lead to such an impairment.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dependent on wireless communication networks owned and controlled by others.</w:t>
      </w:r>
    </w:p>
    <w:p>
      <w:pPr>
        <w:spacing w:after="0" w:line="18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revenue could decline if we are unable to deliver continued access to digital cellular wireless carriers that we depend on to provide sufficient network capacity, reliability and security to our customers. Our financial condition could be impacted if our wireless carriers increase the prices of their services or suffer operational or technical failures.</w:t>
      </w:r>
    </w:p>
    <w:p>
      <w:pPr>
        <w:spacing w:after="0" w:line="147"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Natural disasters, wars and other events beyond our control could impact our supply chain and customers negatively resulting in an adverse impact to our revenue and profitability.</w:t>
      </w:r>
    </w:p>
    <w:p>
      <w:pPr>
        <w:spacing w:after="0" w:line="12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Certain of our components and other materials used in producing our products are from regions susceptible to natural disasters or other events beyond our control, such as the COVID-19 pandemic or the ongoing war in Ukraine. These and other events beyond our control can adversely impact our supply chains and our business. If we are unable to procure necessary materials, we could experience a disruption to our supply chain that would hinder our ability to produce our products in a timely manner. It also could cause us to seek other sources of supply which may be more costly or which we may not be able to procure on a timely basis. We also risk damage to any tooling, equipment or inventory at the supplier’s facilities. For instance, flooding in October 2011 and a fire in November 2014 disrupted the operations at one of our contract manufacturers in Thailand. In addition, our customers may not follow their normal purchasing patterns or temporarily cease purchasing from us due to impacts to their businesses in the region, creating unexpected fluctuations or decreases in our revenue and profitability. Natural disasters, wars and other events beyond our control could have material adverse impacts on our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 PROPERTIES</w:t>
            </w: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392"/>
        </w:trPr>
        <w:tc>
          <w:tcPr>
            <w:tcW w:w="80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The following table contains a listing of our property locations that are material to us as of September 30, 2022:</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97"/>
        </w:trPr>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Approximate</w:t>
            </w:r>
          </w:p>
        </w:tc>
        <w:tc>
          <w:tcPr>
            <w:tcW w:w="1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Ownership or Lease</w:t>
            </w:r>
          </w:p>
        </w:tc>
      </w:tr>
      <w:tr>
        <w:trPr>
          <w:trHeight w:val="24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Location of Property</w:t>
            </w: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Use of Facility</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Square Footage</w:t>
            </w:r>
          </w:p>
        </w:tc>
        <w:tc>
          <w:tcPr>
            <w:tcW w:w="1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Expiration Date</w:t>
            </w:r>
          </w:p>
        </w:tc>
      </w:tr>
      <w:tr>
        <w:trPr>
          <w:trHeight w:val="169"/>
        </w:trPr>
        <w:tc>
          <w:tcPr>
            <w:tcW w:w="23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Hopkins, MN</w:t>
            </w:r>
          </w:p>
        </w:tc>
        <w:tc>
          <w:tcPr>
            <w:tcW w:w="100" w:type="dxa"/>
            <w:vAlign w:val="bottom"/>
            <w:tcBorders>
              <w:top w:val="single" w:sz="8" w:color="CCEEFF"/>
            </w:tcBorders>
            <w:shd w:val="clear" w:color="auto" w:fill="CCEEFF"/>
          </w:tcPr>
          <w:p>
            <w:pPr>
              <w:spacing w:after="0"/>
              <w:rPr>
                <w:sz w:val="14"/>
                <w:szCs w:val="14"/>
                <w:color w:val="auto"/>
              </w:rPr>
            </w:pPr>
          </w:p>
        </w:tc>
        <w:tc>
          <w:tcPr>
            <w:tcW w:w="39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Research &amp; development, sales, sales support,</w:t>
            </w:r>
          </w:p>
        </w:tc>
        <w:tc>
          <w:tcPr>
            <w:tcW w:w="12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IoT Products &amp;</w:t>
            </w:r>
          </w:p>
        </w:tc>
        <w:tc>
          <w:tcPr>
            <w:tcW w:w="14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59,497</w:t>
            </w:r>
          </w:p>
        </w:tc>
        <w:tc>
          <w:tcPr>
            <w:tcW w:w="12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January 2032</w:t>
            </w:r>
          </w:p>
        </w:tc>
      </w:tr>
      <w:tr>
        <w:trPr>
          <w:trHeight w:val="243"/>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headquarters)</w:t>
            </w: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 and administration</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176"/>
        </w:trPr>
        <w:tc>
          <w:tcPr>
            <w:tcW w:w="24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Eden Prairie, MN</w:t>
            </w:r>
          </w:p>
        </w:tc>
        <w:tc>
          <w:tcPr>
            <w:tcW w:w="4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Manufacturing and warehousing</w:t>
            </w:r>
          </w:p>
        </w:tc>
        <w:tc>
          <w:tcPr>
            <w:tcW w:w="1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IoT Products &amp;</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58,000</w:t>
            </w:r>
          </w:p>
        </w:tc>
        <w:tc>
          <w:tcPr>
            <w:tcW w:w="120" w:type="dxa"/>
            <w:vAlign w:val="bottom"/>
          </w:tcPr>
          <w:p>
            <w:pPr>
              <w:spacing w:after="0"/>
              <w:rPr>
                <w:sz w:val="15"/>
                <w:szCs w:val="15"/>
                <w:color w:val="auto"/>
              </w:rPr>
            </w:pPr>
          </w:p>
        </w:tc>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Owned</w:t>
            </w:r>
          </w:p>
        </w:tc>
      </w:tr>
      <w:tr>
        <w:trPr>
          <w:trHeight w:val="239"/>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80"/>
        </w:trPr>
        <w:tc>
          <w:tcPr>
            <w:tcW w:w="24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Sandy, UT</w:t>
            </w:r>
          </w:p>
        </w:tc>
        <w:tc>
          <w:tcPr>
            <w:tcW w:w="40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Sales, technical support, research &amp; development,</w:t>
            </w:r>
          </w:p>
        </w:tc>
        <w:tc>
          <w:tcPr>
            <w:tcW w:w="15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IoT Products &amp;</w:t>
            </w: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35,466</w:t>
            </w: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December 2030</w:t>
            </w:r>
          </w:p>
        </w:tc>
      </w:tr>
      <w:tr>
        <w:trPr>
          <w:trHeight w:val="243"/>
        </w:trPr>
        <w:tc>
          <w:tcPr>
            <w:tcW w:w="2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administration, manufacturing and warehousing</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175"/>
        </w:trPr>
        <w:tc>
          <w:tcPr>
            <w:tcW w:w="24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Norwalk, CT</w:t>
            </w:r>
          </w:p>
        </w:tc>
        <w:tc>
          <w:tcPr>
            <w:tcW w:w="4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Sales, sales support, technical support, research &amp;</w:t>
            </w:r>
          </w:p>
        </w:tc>
        <w:tc>
          <w:tcPr>
            <w:tcW w:w="1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IoT Solutions</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14,115</w:t>
            </w:r>
          </w:p>
        </w:tc>
        <w:tc>
          <w:tcPr>
            <w:tcW w:w="120" w:type="dxa"/>
            <w:vAlign w:val="bottom"/>
          </w:tcPr>
          <w:p>
            <w:pPr>
              <w:spacing w:after="0"/>
              <w:rPr>
                <w:sz w:val="15"/>
                <w:szCs w:val="15"/>
                <w:color w:val="auto"/>
              </w:rPr>
            </w:pPr>
          </w:p>
        </w:tc>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July 2027</w:t>
            </w:r>
          </w:p>
        </w:tc>
      </w:tr>
      <w:tr>
        <w:trPr>
          <w:trHeight w:val="184"/>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8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development, administration, manufacturing and</w:t>
            </w: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34"/>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warehousing</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76"/>
        </w:trPr>
        <w:tc>
          <w:tcPr>
            <w:tcW w:w="24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Boston, MA</w:t>
            </w:r>
          </w:p>
        </w:tc>
        <w:tc>
          <w:tcPr>
            <w:tcW w:w="40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Research &amp; development, sales, sales support and</w:t>
            </w:r>
          </w:p>
        </w:tc>
        <w:tc>
          <w:tcPr>
            <w:tcW w:w="15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IoT Solutions</w:t>
            </w:r>
          </w:p>
        </w:tc>
        <w:tc>
          <w:tcPr>
            <w:tcW w:w="13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13,302</w:t>
            </w: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August 2026</w:t>
            </w:r>
          </w:p>
        </w:tc>
      </w:tr>
      <w:tr>
        <w:trPr>
          <w:trHeight w:val="243"/>
        </w:trPr>
        <w:tc>
          <w:tcPr>
            <w:tcW w:w="2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175"/>
        </w:trPr>
        <w:tc>
          <w:tcPr>
            <w:tcW w:w="24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Queensland, Australia</w:t>
            </w:r>
          </w:p>
        </w:tc>
        <w:tc>
          <w:tcPr>
            <w:tcW w:w="4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Research &amp; development</w:t>
            </w:r>
          </w:p>
        </w:tc>
        <w:tc>
          <w:tcPr>
            <w:tcW w:w="1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IoT Products &amp;</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12,422</w:t>
            </w:r>
          </w:p>
        </w:tc>
        <w:tc>
          <w:tcPr>
            <w:tcW w:w="120" w:type="dxa"/>
            <w:vAlign w:val="bottom"/>
          </w:tcPr>
          <w:p>
            <w:pPr>
              <w:spacing w:after="0"/>
              <w:rPr>
                <w:sz w:val="15"/>
                <w:szCs w:val="15"/>
                <w:color w:val="auto"/>
              </w:rPr>
            </w:pPr>
          </w:p>
        </w:tc>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November 2023</w:t>
            </w:r>
          </w:p>
        </w:tc>
      </w:tr>
      <w:tr>
        <w:trPr>
          <w:trHeight w:val="239"/>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34"/>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Mishawaka, IN</w:t>
            </w:r>
          </w:p>
        </w:tc>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technical support and administration</w:t>
            </w: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IoT Solutions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2026</w:t>
            </w:r>
          </w:p>
        </w:tc>
      </w:tr>
      <w:tr>
        <w:trPr>
          <w:trHeight w:val="176"/>
        </w:trPr>
        <w:tc>
          <w:tcPr>
            <w:tcW w:w="24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Ismaning, Germany</w:t>
            </w:r>
          </w:p>
        </w:tc>
        <w:tc>
          <w:tcPr>
            <w:tcW w:w="40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Sales, sales support and administration</w:t>
            </w:r>
          </w:p>
        </w:tc>
        <w:tc>
          <w:tcPr>
            <w:tcW w:w="1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IoT Products &amp;</w:t>
            </w:r>
          </w:p>
        </w:tc>
        <w:tc>
          <w:tcPr>
            <w:tcW w:w="13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6,878</w:t>
            </w:r>
          </w:p>
        </w:tc>
        <w:tc>
          <w:tcPr>
            <w:tcW w:w="120" w:type="dxa"/>
            <w:vAlign w:val="bottom"/>
          </w:tcPr>
          <w:p>
            <w:pPr>
              <w:spacing w:after="0"/>
              <w:rPr>
                <w:sz w:val="15"/>
                <w:szCs w:val="15"/>
                <w:color w:val="auto"/>
              </w:rPr>
            </w:pPr>
          </w:p>
        </w:tc>
        <w:tc>
          <w:tcPr>
            <w:tcW w:w="17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September 2022</w:t>
            </w:r>
          </w:p>
        </w:tc>
      </w:tr>
      <w:tr>
        <w:trPr>
          <w:trHeight w:val="239"/>
        </w:trPr>
        <w:tc>
          <w:tcPr>
            <w:tcW w:w="2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80"/>
        </w:trPr>
        <w:tc>
          <w:tcPr>
            <w:tcW w:w="24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Edison, NJ</w:t>
            </w:r>
          </w:p>
        </w:tc>
        <w:tc>
          <w:tcPr>
            <w:tcW w:w="408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Administration</w:t>
            </w:r>
          </w:p>
        </w:tc>
        <w:tc>
          <w:tcPr>
            <w:tcW w:w="154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IoT Products &amp;</w:t>
            </w:r>
          </w:p>
        </w:tc>
        <w:tc>
          <w:tcPr>
            <w:tcW w:w="13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8"/>
                <w:szCs w:val="18"/>
                <w:color w:val="auto"/>
              </w:rPr>
              <w:t>6,223</w:t>
            </w:r>
          </w:p>
        </w:tc>
        <w:tc>
          <w:tcPr>
            <w:tcW w:w="120" w:type="dxa"/>
            <w:vAlign w:val="bottom"/>
            <w:shd w:val="clear" w:color="auto" w:fill="CCEEFF"/>
          </w:tcPr>
          <w:p>
            <w:pPr>
              <w:spacing w:after="0"/>
              <w:rPr>
                <w:sz w:val="15"/>
                <w:szCs w:val="15"/>
                <w:color w:val="auto"/>
              </w:rPr>
            </w:pPr>
          </w:p>
        </w:tc>
        <w:tc>
          <w:tcPr>
            <w:tcW w:w="17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March 2025</w:t>
            </w:r>
          </w:p>
        </w:tc>
      </w:tr>
      <w:tr>
        <w:trPr>
          <w:trHeight w:val="243"/>
        </w:trPr>
        <w:tc>
          <w:tcPr>
            <w:tcW w:w="2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 locations, we have various other locations throughout the world that are not deemed to be material.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 xml:space="preserve">In the normal course of business, we are subject to various claims and litigation, which may include, but are not limited to, patent infringement and intellectual property claims. While we are unable to predict the outcome of any potential claims or litigation due to the inherent unpredictability of these matters, we believe that it is possible that we could, in the future, incur judgments or enter into settlements of claims that could have a material adverse effect on our operations in any particular period. See </w:t>
      </w:r>
      <w:r>
        <w:rPr>
          <w:rFonts w:ascii="Times New Roman" w:cs="Times New Roman" w:eastAsia="Times New Roman" w:hAnsi="Times New Roman"/>
          <w:sz w:val="18"/>
          <w:szCs w:val="18"/>
          <w:u w:val="single" w:color="auto"/>
          <w:color w:val="0000FF"/>
        </w:rPr>
        <w:t>Note 16</w:t>
      </w:r>
      <w:r>
        <w:rPr>
          <w:rFonts w:ascii="Times New Roman" w:cs="Times New Roman" w:eastAsia="Times New Roman" w:hAnsi="Times New Roman"/>
          <w:sz w:val="18"/>
          <w:szCs w:val="18"/>
          <w:color w:val="auto"/>
        </w:rPr>
        <w:t xml:space="preserve"> to the consolidated financial statements included in this annual report for additional information relating to legal matters.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Listing</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common stock is listed under the symbol DGII on the Nasdaq Global Select Market tier of the Nasdaq Stock Market LLC. On November 17, 2022 there were 103 stockholders of record.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Repurchases of Equity Securities</w:t>
      </w:r>
    </w:p>
    <w:p>
      <w:pPr>
        <w:spacing w:after="0" w:line="20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information with respect to purchases made by or on behalf of Digi International Inc. or any “affiliated purchaser” (as defined in Rule 10b-18(a)(3) under the Securities Exchange Act of 1934), of our common stock during the fourth quarter of fiscal 2022:</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Total Number of Shares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Maximum Dollar Value</w:t>
            </w:r>
          </w:p>
        </w:tc>
        <w:tc>
          <w:tcPr>
            <w:tcW w:w="0" w:type="dxa"/>
            <w:vAlign w:val="bottom"/>
          </w:tcPr>
          <w:p>
            <w:pPr>
              <w:spacing w:after="0"/>
              <w:rPr>
                <w:sz w:val="1"/>
                <w:szCs w:val="1"/>
                <w:color w:val="auto"/>
              </w:rPr>
            </w:pPr>
          </w:p>
        </w:tc>
      </w:tr>
      <w:tr>
        <w:trPr>
          <w:trHeight w:val="180"/>
        </w:trPr>
        <w:tc>
          <w:tcPr>
            <w:tcW w:w="4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20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9"/>
              </w:rPr>
              <w:t>Purchased as Part of a</w:t>
            </w:r>
          </w:p>
        </w:tc>
        <w:tc>
          <w:tcPr>
            <w:tcW w:w="1840" w:type="dxa"/>
            <w:vAlign w:val="bottom"/>
            <w:gridSpan w:val="2"/>
          </w:tcPr>
          <w:p>
            <w:pPr>
              <w:jc w:val="right"/>
              <w:ind w:right="10"/>
              <w:spacing w:after="0" w:line="181" w:lineRule="exact"/>
              <w:rPr>
                <w:sz w:val="20"/>
                <w:szCs w:val="20"/>
                <w:color w:val="auto"/>
              </w:rPr>
            </w:pPr>
            <w:r>
              <w:rPr>
                <w:rFonts w:ascii="Times New Roman" w:cs="Times New Roman" w:eastAsia="Times New Roman" w:hAnsi="Times New Roman"/>
                <w:sz w:val="18"/>
                <w:szCs w:val="18"/>
                <w:color w:val="auto"/>
              </w:rPr>
              <w:t>of Shares that May Yet</w:t>
            </w:r>
          </w:p>
        </w:tc>
        <w:tc>
          <w:tcPr>
            <w:tcW w:w="0" w:type="dxa"/>
            <w:vAlign w:val="bottom"/>
          </w:tcPr>
          <w:p>
            <w:pPr>
              <w:spacing w:after="0"/>
              <w:rPr>
                <w:sz w:val="1"/>
                <w:szCs w:val="1"/>
                <w:color w:val="auto"/>
              </w:rPr>
            </w:pPr>
          </w:p>
        </w:tc>
      </w:tr>
      <w:tr>
        <w:trPr>
          <w:trHeight w:val="176"/>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Shares Purchased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Publicly Announced</w:t>
            </w:r>
          </w:p>
        </w:tc>
        <w:tc>
          <w:tcPr>
            <w:tcW w:w="184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Be Purchased Under the</w:t>
            </w:r>
          </w:p>
        </w:tc>
        <w:tc>
          <w:tcPr>
            <w:tcW w:w="0" w:type="dxa"/>
            <w:vAlign w:val="bottom"/>
          </w:tcPr>
          <w:p>
            <w:pPr>
              <w:spacing w:after="0"/>
              <w:rPr>
                <w:sz w:val="1"/>
                <w:szCs w:val="1"/>
                <w:color w:val="auto"/>
              </w:rPr>
            </w:pPr>
          </w:p>
        </w:tc>
      </w:tr>
      <w:tr>
        <w:trPr>
          <w:trHeight w:val="229"/>
        </w:trPr>
        <w:tc>
          <w:tcPr>
            <w:tcW w:w="4360" w:type="dxa"/>
            <w:vAlign w:val="bottom"/>
            <w:gridSpan w:val="2"/>
            <w:vMerge w:val="continue"/>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Paid per Share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Program</w:t>
            </w:r>
          </w:p>
        </w:tc>
        <w:tc>
          <w:tcPr>
            <w:tcW w:w="360" w:type="dxa"/>
            <w:vAlign w:val="bottom"/>
          </w:tcPr>
          <w:p>
            <w:pPr>
              <w:spacing w:after="0"/>
              <w:rPr>
                <w:sz w:val="19"/>
                <w:szCs w:val="19"/>
                <w:color w:val="auto"/>
              </w:rPr>
            </w:pPr>
          </w:p>
        </w:tc>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Program</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2022 - July 31, 2022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2022 - August 31,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20" w:type="dxa"/>
            <w:vAlign w:val="bottom"/>
          </w:tcPr>
          <w:p>
            <w:pPr>
              <w:spacing w:after="0"/>
              <w:rPr>
                <w:sz w:val="19"/>
                <w:szCs w:val="19"/>
                <w:color w:val="auto"/>
              </w:rPr>
            </w:pP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2022 - September 30,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right="520" w:hanging="328"/>
        <w:spacing w:after="0" w:line="282" w:lineRule="auto"/>
        <w:tabs>
          <w:tab w:leader="none" w:pos="71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reported were forfeited by employees in connection with the satisfaction of tax withholding obligations related to the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Evaluation</w:t>
      </w:r>
    </w:p>
    <w:p>
      <w:pPr>
        <w:spacing w:after="0" w:line="202"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The graph below compares the total cumulative stockholders’ return on our common stock for the period from the close of the Nasdaq Stock Market - U.S. Companies on September 30, 2017 to September 30, 2022, the last day of fiscal 2021, with the total cumulative return for the Nasdaq U.S. Benchmark TR Index (the "U.S. Benchmark Index") and the Nasdaq Telecommunications Index (the "Peer Index") over the same period. We have determined that our line of business is mostly comparable to those companies in the Peer Index. The index level for the graph and table was set to $100 on September 30, 2017, for our common stock, the U.S. Benchmark Index and the Peer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-8255</wp:posOffset>
            </wp:positionV>
            <wp:extent cx="4286250" cy="2571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862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FY17</w:t>
            </w:r>
          </w:p>
        </w:tc>
        <w:tc>
          <w:tcPr>
            <w:tcW w:w="20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FY18</w:t>
            </w:r>
          </w:p>
        </w:tc>
        <w:tc>
          <w:tcPr>
            <w:tcW w:w="20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FY19</w:t>
            </w:r>
          </w:p>
        </w:tc>
        <w:tc>
          <w:tcPr>
            <w:tcW w:w="20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FY20</w:t>
            </w:r>
          </w:p>
        </w:tc>
        <w:tc>
          <w:tcPr>
            <w:tcW w:w="20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FY21</w:t>
            </w:r>
          </w:p>
        </w:tc>
        <w:tc>
          <w:tcPr>
            <w:tcW w:w="200" w:type="dxa"/>
            <w:vAlign w:val="bottom"/>
          </w:tcPr>
          <w:p>
            <w:pPr>
              <w:spacing w:after="0"/>
              <w:rPr>
                <w:sz w:val="20"/>
                <w:szCs w:val="20"/>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FY22</w:t>
            </w:r>
          </w:p>
        </w:tc>
      </w:tr>
      <w:tr>
        <w:trPr>
          <w:trHeight w:val="223"/>
        </w:trPr>
        <w:tc>
          <w:tcPr>
            <w:tcW w:w="40" w:type="dxa"/>
            <w:vAlign w:val="bottom"/>
          </w:tcPr>
          <w:p>
            <w:pPr>
              <w:spacing w:after="0"/>
              <w:rPr>
                <w:sz w:val="19"/>
                <w:szCs w:val="19"/>
                <w:color w:val="auto"/>
              </w:rPr>
            </w:pPr>
          </w:p>
        </w:tc>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 International Inc.</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316.42</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Nasdaq U.S. Benchmark TR Index</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Nasdaq Telecommunications Index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20" w:type="dxa"/>
            <w:vAlign w:val="bottom"/>
          </w:tcPr>
          <w:p>
            <w:pPr>
              <w:spacing w:after="0"/>
              <w:rPr>
                <w:sz w:val="19"/>
                <w:szCs w:val="19"/>
                <w:color w:val="auto"/>
              </w:rPr>
            </w:pPr>
          </w:p>
        </w:tc>
      </w:tr>
      <w:tr>
        <w:trPr>
          <w:trHeight w:val="864"/>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management’s discussion and analysis should be read in conjunction with our consolidated financial statements and other information in this Annual Report on Form 10-K.</w:t>
      </w:r>
    </w:p>
    <w:p>
      <w:pPr>
        <w:spacing w:after="0" w:line="121" w:lineRule="exact"/>
        <w:rPr>
          <w:sz w:val="20"/>
          <w:szCs w:val="20"/>
          <w:color w:val="auto"/>
        </w:rPr>
      </w:pPr>
    </w:p>
    <w:p>
      <w:pPr>
        <w:ind w:right="36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We have omitted discussion of the earliest of the three years covered by our consolidated financial statements presented in this report because that disclosure was already included in our Annual Report on </w:t>
      </w:r>
      <w:hyperlink r:id="rId39">
        <w:r>
          <w:rPr>
            <w:rFonts w:ascii="Times New Roman" w:cs="Times New Roman" w:eastAsia="Times New Roman" w:hAnsi="Times New Roman"/>
            <w:sz w:val="17"/>
            <w:szCs w:val="17"/>
            <w:u w:val="single" w:color="auto"/>
            <w:color w:val="0000FF"/>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fiscal 2021, filed with the SEC on November 24, 2021. You are encouraged to reference Part II, Item 7, within that report, for a discussion of our financial condition and result of operations for fiscal 2020 compared to fiscal 2021.</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Form 10-Q contains certain statements that are "forward-looking statements" as that term is defined under the Private Securities Litigation Reform Act of 1995, and within the meaning of Section 27A of the Securities Act of 1933, as amended, and Section 21E of the Securities Exchange Act of 1934, as amended.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8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This discussion contains forward-looking statements that are based on management's current expectations and assumptions. These statements often can be identified by the use of forward-looking terminology such as "assume," "believe," "anticipate," "intend," "estimate," "target," "may," "will," "expect," "plan," "potential," "project," "should," or "continue," or the negative thereof or other variations thereon or similar terminology. Among other items, these statements relate to expectations of the business environment in which Digi operates, projections of future performance, perceived marketplace opportunities and statements regarding our mission and vision. Such statements are not guarantees of future performance and involve certain risks, uncertainties and assumptions. Among others, these include risks related to the ongoing supply chain and transportation challenges impacting businesses globally, the ongoing COVID-19 pandemic and efforts to mitigate the same, risks related to ongoing inflationary pressures as well as present concerns about a potential recession and the ability of companies like us to operate a global business in such conditions, risks arising from the present war in Ukraine, the highly competitive market in which our company operates, rapid changes in technologies that may displace products sold by us, declining prices of networking products, our reliance on distributors and other third parties to sell our products, the potential for significant purchase orders to be canceled or changed, delays in product development efforts, uncertainty in user acceptance of our products, the ability to integrate our products and services with those of other parties in a commercially accepted manner, potential liabilities that can arise if any of our products have design or manufacturing defects, our ability to integrate and realize the expected benefits of acquisitions such as our recently completed acquisition of Ventus, our ability to defend or settle satisfactorily any litigation, uncertainty in global economic conditions and economic conditions within particular regions of the world which could negatively affect product demand and the financial solvency of customers and suppliers, the impact of natural disasters and other events beyond our control that could negatively impact our supply chain and customers, potential unintended consequences associated with restructuring, reorganizations or other similar business initiatives that may impact our ability to retain important employees or otherwise impact our operations in unintended and adverse ways, the ability to achieve the anticipated benefits and synergies associated with acquisitions or divestitures and changes in our level of revenue or profitability which can fluctuate for many reasons beyond our control.</w:t>
      </w:r>
    </w:p>
    <w:p>
      <w:pPr>
        <w:spacing w:after="0" w:line="16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These and other risks, uncertainties and assumptions identified from time to time in our filings with the United States Securities and Exchange Commission, including without limitation, those set forth in Item 1A, Risk Factors, of this Annual Report on Form 10-K and other quarterly filings on Form 10-Q and other subsequent filings, could cause our actual results to differ materially from those expressed in any forward-looking statements made by us or on our behalf. Many of such factors are beyond our ability to control or predict. These forward-looking statements speak only as of the date for which they are made. We disclaim any intent or obligation to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are a leading global provider of business and mission-critical IoT connectivity products, services and solutions. Our business is comprised of two reporting segments: IoT Products &amp; Services and IoT Solutions.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fiscal 2022, our key operating objectives included:</w:t>
      </w:r>
    </w:p>
    <w:p>
      <w:pPr>
        <w:spacing w:after="0" w:line="1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of both SmartSense by Digi and Ventus that are the base of our IoT Solutions segment;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growth within our IoT Products &amp; Services segment through new product introductions;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our recently acquired Ventus business.</w:t>
      </w:r>
    </w:p>
    <w:p>
      <w:pPr>
        <w:spacing w:after="0" w:line="117"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During the course of fiscal 2022, the supply chain difficulties presently impacting businesses globally continued to affect our business. We devoted significant time and resources towards mitigating these impacts during the fiscal year.</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utilize many financial, operational, and other metrics to evaluate our financial condition and financial performance. Below we highlight the metrics for fiscal 2022 that we feel are most important in these evaluations, with comparisons to fiscal 2021:</w:t>
      </w:r>
    </w:p>
    <w:p>
      <w:pPr>
        <w:spacing w:after="0" w:line="54"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revenue was $388 million, an increase of 26%.</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gross profit was $216 million, an increase of 30%.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was 55.7% versus 54.0%. Gross profit margin excluding amortization was 57.1% compared to 55.5%.</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operating income was $38 million, compared to $11 million, an increase of 263%.</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$19 million, compared to $10 million, an increase of 87%.</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was $0.54, compared to $0.31, an increase of 74%.</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was $60 million, or $1.66 per diluted share, compared to $36 million, or $1.08 per diluted share, an increase of 54%.</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$79 million, or, 20.5% of revenue, compared to $48 million or 15.6% of revenue.</w:t>
      </w:r>
    </w:p>
    <w:p>
      <w:pPr>
        <w:spacing w:after="0" w:line="1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Annualized Recurring Revenue, or ARR, was over $94 million at year end, an increase of 149%.</w:t>
      </w:r>
    </w:p>
    <w:p>
      <w:pPr>
        <w:spacing w:after="0" w:line="8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completed the acquisition of Ventus in the first fiscal quarter of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Events Impacting Fiscal 2022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Ventus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On November 1, 2021, we acquired Ventus for approximately $350 million in cash. The acquisition was funded through a combination of cash on hand and debt financing under an amended and restated credit facility committed by BMO Harris Bank N.A.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In the first quarter of fiscal 2022, the preliminary purchase price allocation was recorded, including related determinations of fair value and income tax implications. In the fourth quarter of fiscal 2022, we recorded purchase price allocation adjustments to adjust for new information. As a result, in our final purchase price allocation we have $119 million of goodwill and $211 million of other intangibles on our consolidated balance sheets at September 30, 2022. The results of operations following the acquisition date are now included in our 2022 results within our IoT Solutions segment.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trends regarding our existing business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trends affected our financial performance in fiscal 2022 and 2021, and we expect these trends will continue to impact our results in the future:</w:t>
      </w:r>
    </w:p>
    <w:p>
      <w:pPr>
        <w:spacing w:after="0" w:line="54" w:lineRule="exact"/>
        <w:rPr>
          <w:sz w:val="20"/>
          <w:szCs w:val="20"/>
          <w:color w:val="auto"/>
        </w:rPr>
      </w:pPr>
    </w:p>
    <w:p>
      <w:pPr>
        <w:ind w:left="660" w:right="14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market for IoT products and related services is in the midst of a long-term expansion. We believe our IoT Products &amp; Services business is positioned for modest revenue and profitability growth and that our IoT Solutions business is positioned for more significant revenue and profitability growth given the large total addressable market for condition monitoring and asset tracking services that is in earlier stages of adoption.</w:t>
      </w:r>
    </w:p>
    <w:p>
      <w:pPr>
        <w:spacing w:after="0" w:line="71"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recurring revenue from subscription and cloud monitoring services becomes a greater portion of our overall revenue, we expect gross margins to increase as the revenue of incremental subscriptions is not offset at the same rate as expected increases in costs associated with implementing new subscribers.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89"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8"/>
          <w:szCs w:val="18"/>
          <w:color w:val="auto"/>
        </w:rPr>
        <w:t>The following table sets forth selected information derived from our consolidated statements of operations, expressed as a percentage of revenue and as a percentage of change from year-to-year for the years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40" w:type="dxa"/>
            <w:vAlign w:val="bottom"/>
            <w:gridSpan w:val="13"/>
          </w:tcPr>
          <w:p>
            <w:pPr>
              <w:jc w:val="right"/>
              <w:ind w:right="1320"/>
              <w:spacing w:after="0"/>
              <w:rPr>
                <w:sz w:val="20"/>
                <w:szCs w:val="20"/>
                <w:color w:val="auto"/>
              </w:rPr>
            </w:pPr>
            <w:r>
              <w:rPr>
                <w:rFonts w:ascii="Times New Roman" w:cs="Times New Roman" w:eastAsia="Times New Roman" w:hAnsi="Times New Roman"/>
                <w:sz w:val="18"/>
                <w:szCs w:val="18"/>
                <w:color w:val="auto"/>
              </w:rPr>
              <w:t>Year ended September 30,</w:t>
            </w:r>
          </w:p>
        </w:tc>
        <w:tc>
          <w:tcPr>
            <w:tcW w:w="21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 Increase (decrease)</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94"/>
              </w:rPr>
              <w:t>2021</w:t>
            </w:r>
          </w:p>
        </w:tc>
        <w:tc>
          <w:tcPr>
            <w:tcW w:w="1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CCEEFF"/>
            </w:tcBorders>
          </w:tcPr>
          <w:p>
            <w:pPr>
              <w:spacing w:after="0"/>
              <w:rPr>
                <w:sz w:val="19"/>
                <w:szCs w:val="19"/>
                <w:color w:val="auto"/>
              </w:rPr>
            </w:pPr>
          </w:p>
        </w:tc>
        <w:tc>
          <w:tcPr>
            <w:tcW w:w="2160" w:type="dxa"/>
            <w:vAlign w:val="bottom"/>
            <w:tcBorders>
              <w:top w:val="single" w:sz="8" w:color="auto"/>
              <w:bottom w:val="single" w:sz="8" w:color="CCEEFF"/>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2022 compared to 2021</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REVENUE BY SEGMENT</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8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10"/>
          </w:tcPr>
          <w:p>
            <w:pPr>
              <w:jc w:val="right"/>
              <w:ind w:right="660"/>
              <w:spacing w:after="0"/>
              <w:rPr>
                <w:sz w:val="20"/>
                <w:szCs w:val="20"/>
                <w:color w:val="auto"/>
              </w:rPr>
            </w:pPr>
            <w:r>
              <w:rPr>
                <w:rFonts w:ascii="Times New Roman" w:cs="Times New Roman" w:eastAsia="Times New Roman" w:hAnsi="Times New Roman"/>
                <w:sz w:val="18"/>
                <w:szCs w:val="18"/>
                <w:color w:val="auto"/>
              </w:rPr>
              <w:t>Year ended September 30,</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 Increase</w:t>
            </w:r>
          </w:p>
        </w:tc>
        <w:tc>
          <w:tcPr>
            <w:tcW w:w="0" w:type="dxa"/>
            <w:vAlign w:val="bottom"/>
          </w:tcPr>
          <w:p>
            <w:pPr>
              <w:spacing w:after="0"/>
              <w:rPr>
                <w:sz w:val="1"/>
                <w:szCs w:val="1"/>
                <w:color w:val="auto"/>
              </w:rPr>
            </w:pPr>
          </w:p>
        </w:tc>
      </w:tr>
      <w:tr>
        <w:trPr>
          <w:trHeight w:val="156"/>
        </w:trPr>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23"/>
        </w:trPr>
        <w:tc>
          <w:tcPr>
            <w:tcW w:w="4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4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297,645</w:t>
            </w:r>
          </w:p>
        </w:tc>
        <w:tc>
          <w:tcPr>
            <w:tcW w:w="14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76.7 %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264,173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90,580</w:t>
            </w:r>
          </w:p>
        </w:tc>
        <w:tc>
          <w:tcPr>
            <w:tcW w:w="14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44,459</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23"/>
        </w:trPr>
        <w:tc>
          <w:tcPr>
            <w:tcW w:w="4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388,225</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308,632</w:t>
            </w:r>
          </w:p>
        </w:tc>
        <w:tc>
          <w:tcPr>
            <w:tcW w:w="1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Products &amp; Services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IoT Products &amp; Services revenue increased 12.7% for fiscal 2022, as compared to fiscal 2021. This primarily was the result of:</w:t>
      </w:r>
    </w:p>
    <w:p>
      <w:pPr>
        <w:spacing w:after="0" w:line="117" w:lineRule="exact"/>
        <w:rPr>
          <w:sz w:val="20"/>
          <w:szCs w:val="20"/>
          <w:color w:val="auto"/>
        </w:rPr>
      </w:pPr>
    </w:p>
    <w:p>
      <w:pPr>
        <w:ind w:left="660" w:right="100" w:hanging="328"/>
        <w:spacing w:after="0" w:line="282" w:lineRule="auto"/>
        <w:tabs>
          <w:tab w:leader="none" w:pos="65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increased sales of console server and cellular products driven by demand for data center and edge based deployments and increased OEM sales in the second half of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partially offset by:</w:t>
      </w:r>
    </w:p>
    <w:p>
      <w:pPr>
        <w:spacing w:after="0" w:line="11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of infrastructure management products, driven by supply chain challenges.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IoT Solutions revenue increased 103.7% for fiscal 2022, as compared to fiscal 2021. This primarily was the result of:</w:t>
      </w:r>
    </w:p>
    <w:p>
      <w:pPr>
        <w:spacing w:after="0" w:line="117" w:lineRule="exact"/>
        <w:rPr>
          <w:sz w:val="20"/>
          <w:szCs w:val="20"/>
          <w:color w:val="auto"/>
        </w:rPr>
      </w:pPr>
    </w:p>
    <w:p>
      <w:pPr>
        <w:ind w:right="4780" w:firstLine="332"/>
        <w:spacing w:after="0" w:line="375" w:lineRule="auto"/>
        <w:tabs>
          <w:tab w:leader="none" w:pos="643"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additional recurring revenue from our November 2021 acquisition of Ventus. This increase were partially offset by:</w:t>
      </w:r>
    </w:p>
    <w:p>
      <w:pPr>
        <w:spacing w:after="0" w:line="1"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one-time customer implementation sales, due to significant activity from a few large customers in 2021 that did not recur in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 AND GROSS PROFIT BY SEGMENT</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9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Below are our segments' cost of goods sold and gross profit as a percentage of their respective total revenue:</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gridSpan w:val="5"/>
            <w:vMerge w:val="restart"/>
          </w:tcPr>
          <w:p>
            <w:pPr>
              <w:jc w:val="right"/>
              <w:ind w:right="780"/>
              <w:spacing w:after="0"/>
              <w:rPr>
                <w:sz w:val="20"/>
                <w:szCs w:val="20"/>
                <w:color w:val="auto"/>
              </w:rPr>
            </w:pPr>
            <w:r>
              <w:rPr>
                <w:rFonts w:ascii="Times New Roman" w:cs="Times New Roman" w:eastAsia="Times New Roman" w:hAnsi="Times New Roman"/>
                <w:sz w:val="18"/>
                <w:szCs w:val="18"/>
                <w:color w:val="auto"/>
              </w:rPr>
              <w:t>Year ended September 30,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Basis point</w:t>
            </w:r>
          </w:p>
        </w:tc>
        <w:tc>
          <w:tcPr>
            <w:tcW w:w="0" w:type="dxa"/>
            <w:vAlign w:val="bottom"/>
          </w:tcPr>
          <w:p>
            <w:pPr>
              <w:spacing w:after="0"/>
              <w:rPr>
                <w:sz w:val="1"/>
                <w:szCs w:val="1"/>
                <w:color w:val="auto"/>
              </w:rPr>
            </w:pPr>
          </w:p>
        </w:tc>
      </w:tr>
      <w:tr>
        <w:trPr>
          <w:trHeight w:val="164"/>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line="164" w:lineRule="exact"/>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34"/>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Pr>
          <w:p>
            <w:pPr>
              <w:spacing w:after="0"/>
              <w:rPr>
                <w:sz w:val="20"/>
                <w:szCs w:val="20"/>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(decrease)</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137,528</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119,701</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34,411</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22,274</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171,939</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141,975</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Basis point</w:t>
            </w:r>
          </w:p>
        </w:tc>
        <w:tc>
          <w:tcPr>
            <w:tcW w:w="0" w:type="dxa"/>
            <w:vAlign w:val="bottom"/>
          </w:tcPr>
          <w:p>
            <w:pPr>
              <w:spacing w:after="0"/>
              <w:rPr>
                <w:sz w:val="1"/>
                <w:szCs w:val="1"/>
                <w:color w:val="auto"/>
              </w:rPr>
            </w:pPr>
          </w:p>
        </w:tc>
      </w:tr>
      <w:tr>
        <w:trPr>
          <w:trHeight w:val="574"/>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gridSpan w:val="5"/>
            <w:vMerge w:val="restart"/>
          </w:tcPr>
          <w:p>
            <w:pPr>
              <w:jc w:val="right"/>
              <w:ind w:right="780"/>
              <w:spacing w:after="0"/>
              <w:rPr>
                <w:sz w:val="20"/>
                <w:szCs w:val="20"/>
                <w:color w:val="auto"/>
              </w:rPr>
            </w:pPr>
            <w:r>
              <w:rPr>
                <w:rFonts w:ascii="Times New Roman" w:cs="Times New Roman" w:eastAsia="Times New Roman" w:hAnsi="Times New Roman"/>
                <w:sz w:val="18"/>
                <w:szCs w:val="18"/>
                <w:color w:val="auto"/>
              </w:rPr>
              <w:t>Year ended September 30,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5"/>
            <w:vMerge w:val="continue"/>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4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8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2022</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(decrease)</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160,117</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144,472</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56,169</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w:t>
            </w:r>
          </w:p>
        </w:tc>
        <w:tc>
          <w:tcPr>
            <w:tcW w:w="5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23"/>
        </w:trPr>
        <w:tc>
          <w:tcPr>
            <w:tcW w:w="4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216,286</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166,657</w:t>
            </w:r>
          </w:p>
        </w:tc>
        <w:tc>
          <w:tcPr>
            <w:tcW w:w="5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Product &amp; Services</w:t>
      </w:r>
    </w:p>
    <w:p>
      <w:pPr>
        <w:spacing w:after="0" w:line="18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IoT Products &amp; Services gross profit margin decreased 90 basis points for fiscal 2022 as compared to the prior fiscal year. This decrease primarily was a result of:</w:t>
      </w:r>
    </w:p>
    <w:p>
      <w:pPr>
        <w:spacing w:after="0" w:line="54"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production and distribution costs due to the continuing supply chain challenges, as well as changes in product and customer mix.</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IoT Solutions</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IoT Solutions gross profit margin increased 1,210 basis points for fiscal 2022 as compared to the prior fiscal year. This increase primarily was a result of:</w:t>
      </w:r>
    </w:p>
    <w:p>
      <w:pPr>
        <w:spacing w:after="0" w:line="54" w:lineRule="exact"/>
        <w:rPr>
          <w:sz w:val="20"/>
          <w:szCs w:val="20"/>
          <w:color w:val="auto"/>
        </w:rPr>
      </w:pPr>
    </w:p>
    <w:p>
      <w:pPr>
        <w:ind w:left="5540" w:right="1920" w:hanging="5208"/>
        <w:spacing w:after="0" w:line="970" w:lineRule="auto"/>
        <w:tabs>
          <w:tab w:leader="none" w:pos="6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recurring subscription revenue, from the acquisition of Ventus, which typically has a high gross profit margin.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Below are our operating expenses and operating expenses as a percentage of total revenue:</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7"/>
          </w:tcPr>
          <w:p>
            <w:pPr>
              <w:jc w:val="right"/>
              <w:ind w:right="340"/>
              <w:spacing w:after="0"/>
              <w:rPr>
                <w:sz w:val="20"/>
                <w:szCs w:val="20"/>
                <w:color w:val="auto"/>
              </w:rPr>
            </w:pPr>
            <w:r>
              <w:rPr>
                <w:rFonts w:ascii="Times New Roman" w:cs="Times New Roman" w:eastAsia="Times New Roman" w:hAnsi="Times New Roman"/>
                <w:sz w:val="18"/>
                <w:szCs w:val="18"/>
                <w:color w:val="auto"/>
              </w:rPr>
              <w:t>Year ended September 30,</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 increase</w:t>
            </w:r>
          </w:p>
        </w:tc>
        <w:tc>
          <w:tcPr>
            <w:tcW w:w="100" w:type="dxa"/>
            <w:vAlign w:val="bottom"/>
          </w:tcPr>
          <w:p>
            <w:pPr>
              <w:spacing w:after="0"/>
              <w:rPr>
                <w:sz w:val="24"/>
                <w:szCs w:val="24"/>
                <w:color w:val="auto"/>
              </w:rPr>
            </w:pPr>
          </w:p>
        </w:tc>
        <w:tc>
          <w:tcPr>
            <w:tcW w:w="11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 Increase</w:t>
            </w:r>
          </w:p>
        </w:tc>
        <w:tc>
          <w:tcPr>
            <w:tcW w:w="0" w:type="dxa"/>
            <w:vAlign w:val="bottom"/>
          </w:tcPr>
          <w:p>
            <w:pPr>
              <w:spacing w:after="0"/>
              <w:rPr>
                <w:sz w:val="1"/>
                <w:szCs w:val="1"/>
                <w:color w:val="auto"/>
              </w:rPr>
            </w:pPr>
          </w:p>
        </w:tc>
      </w:tr>
      <w:tr>
        <w:trPr>
          <w:trHeight w:val="156"/>
        </w:trPr>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80" w:type="dxa"/>
            <w:vAlign w:val="bottom"/>
          </w:tcPr>
          <w:p>
            <w:pPr>
              <w:spacing w:after="0"/>
              <w:rPr>
                <w:sz w:val="21"/>
                <w:szCs w:val="21"/>
                <w:color w:val="auto"/>
              </w:rPr>
            </w:pPr>
          </w:p>
        </w:tc>
        <w:tc>
          <w:tcPr>
            <w:tcW w:w="17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2021</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(decrease)</w:t>
            </w:r>
          </w:p>
        </w:tc>
        <w:tc>
          <w:tcPr>
            <w:tcW w:w="100" w:type="dxa"/>
            <w:vAlign w:val="bottom"/>
          </w:tcPr>
          <w:p>
            <w:pPr>
              <w:spacing w:after="0"/>
              <w:rPr>
                <w:sz w:val="21"/>
                <w:szCs w:val="21"/>
                <w:color w:val="auto"/>
              </w:rPr>
            </w:pP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23"/>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30"/>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55,098</w:t>
            </w: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9"/>
        </w:trPr>
        <w:tc>
          <w:tcPr>
            <w:tcW w:w="4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9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charges, net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48"/>
        </w:trPr>
        <w:tc>
          <w:tcPr>
            <w:tcW w:w="48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21,937</w:t>
            </w:r>
          </w:p>
        </w:tc>
        <w:tc>
          <w:tcPr>
            <w:tcW w:w="1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$21.9 million increase in operating expenses in fiscal 2022 from fiscal 2021 primarily was the result of:</w:t>
      </w:r>
    </w:p>
    <w:p>
      <w:pPr>
        <w:spacing w:after="0" w:line="11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operating expenses from our acquisitions of Ventus, Haxiot and Ctek.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19" w:lineRule="exact"/>
        <w:rPr>
          <w:sz w:val="20"/>
          <w:szCs w:val="20"/>
          <w:color w:val="auto"/>
        </w:rPr>
      </w:pPr>
    </w:p>
    <w:p>
      <w:pPr>
        <w:ind w:left="660" w:right="4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$5.8 million increase in contingent consideration in prior year compared to a $6.2 million reduction in 2022 and a decrease in restructuring charges.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8"/>
                <w:szCs w:val="18"/>
                <w:color w:val="auto"/>
                <w:w w:val="99"/>
              </w:rPr>
              <w:t>Year ended September 30,</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 increase</w:t>
            </w:r>
          </w:p>
        </w:tc>
        <w:tc>
          <w:tcPr>
            <w:tcW w:w="1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 Increase</w:t>
            </w:r>
          </w:p>
        </w:tc>
        <w:tc>
          <w:tcPr>
            <w:tcW w:w="0" w:type="dxa"/>
            <w:vAlign w:val="bottom"/>
          </w:tcPr>
          <w:p>
            <w:pPr>
              <w:spacing w:after="0"/>
              <w:rPr>
                <w:sz w:val="1"/>
                <w:szCs w:val="1"/>
                <w:color w:val="auto"/>
              </w:rPr>
            </w:pPr>
          </w:p>
        </w:tc>
      </w:tr>
      <w:tr>
        <w:trPr>
          <w:trHeight w:val="164"/>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40" w:type="dxa"/>
            <w:vAlign w:val="bottom"/>
          </w:tcPr>
          <w:p>
            <w:pPr>
              <w:spacing w:after="0"/>
              <w:rPr>
                <w:sz w:val="20"/>
                <w:szCs w:val="20"/>
                <w:color w:val="auto"/>
              </w:rPr>
            </w:pPr>
          </w:p>
        </w:tc>
        <w:tc>
          <w:tcPr>
            <w:tcW w:w="11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(decrease)</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(decrease)</w:t>
            </w:r>
          </w:p>
        </w:tc>
        <w:tc>
          <w:tcPr>
            <w:tcW w:w="0" w:type="dxa"/>
            <w:vAlign w:val="bottom"/>
          </w:tcPr>
          <w:p>
            <w:pPr>
              <w:spacing w:after="0"/>
              <w:rPr>
                <w:sz w:val="1"/>
                <w:szCs w:val="1"/>
                <w:color w:val="auto"/>
              </w:rPr>
            </w:pPr>
          </w:p>
        </w:tc>
      </w:tr>
      <w:tr>
        <w:trPr>
          <w:trHeight w:val="223"/>
        </w:trPr>
        <w:tc>
          <w:tcPr>
            <w:tcW w:w="4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w:t>
            </w:r>
          </w:p>
        </w:tc>
        <w:tc>
          <w:tcPr>
            <w:tcW w:w="0" w:type="dxa"/>
            <w:vAlign w:val="bottom"/>
          </w:tcPr>
          <w:p>
            <w:pPr>
              <w:spacing w:after="0"/>
              <w:rPr>
                <w:sz w:val="1"/>
                <w:szCs w:val="1"/>
                <w:color w:val="auto"/>
              </w:rPr>
            </w:pPr>
          </w:p>
        </w:tc>
      </w:tr>
      <w:tr>
        <w:trPr>
          <w:trHeight w:val="229"/>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$18.1 million increase in other expense in fiscal 2022 from fiscal 2021 primarily was the result of:</w:t>
      </w:r>
    </w:p>
    <w:p>
      <w:pPr>
        <w:spacing w:after="0" w:line="119" w:lineRule="exact"/>
        <w:rPr>
          <w:sz w:val="20"/>
          <w:szCs w:val="20"/>
          <w:color w:val="auto"/>
        </w:rPr>
      </w:pPr>
    </w:p>
    <w:p>
      <w:pPr>
        <w:ind w:left="660" w:right="8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to our interest expense as we refinanced our revolving loan with a new credit facility in November 2021 and wrote off a portion of the deferred financing fees associated with our prior credit facility to fund the acquisition of Ventus.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the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Our effective income tax benefit rates were (4.1)%, (15.2)% and (12.7)% for fiscal 2022, 2021 and 2020, respectively. Our effective tax rate will vary based on a variety of factors. These include our overall profitability, the geographical mix of income before taxes and related statutory tax rate in each jurisdiction, and discrete events, such as settlement of audits (see </w:t>
      </w:r>
      <w:r>
        <w:rPr>
          <w:rFonts w:ascii="Times New Roman" w:cs="Times New Roman" w:eastAsia="Times New Roman" w:hAnsi="Times New Roman"/>
          <w:sz w:val="18"/>
          <w:szCs w:val="18"/>
          <w:u w:val="single" w:color="auto"/>
          <w:color w:val="0000FF"/>
        </w:rPr>
        <w:t>Note 12</w:t>
      </w:r>
      <w:r>
        <w:rPr>
          <w:rFonts w:ascii="Times New Roman" w:cs="Times New Roman" w:eastAsia="Times New Roman" w:hAnsi="Times New Roman"/>
          <w:sz w:val="18"/>
          <w:szCs w:val="18"/>
          <w:color w:val="auto"/>
        </w:rPr>
        <w:t xml:space="preserve"> to our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BUSINESS METRICS</w:t>
      </w:r>
    </w:p>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Annualized Recurring Revenue ("ARR") represents the annualized monthly value of all billable subscription contracts, measured at the end of any fiscal period. ARR should be viewed independently of revenue and deferred revenue and is not intended to replace or forecast either item. Digi management uses ARR to manage and assess the growth of our subscription revenue business. We believe ARR is an indicator of the scale of our subscription revenue business and is less subject to seasonality and contract term changes than other metrics.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FINANCIAL INFORMATION</w:t>
      </w:r>
    </w:p>
    <w:p>
      <w:pPr>
        <w:spacing w:after="0" w:line="19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report includes adjusted net income, adjusted net income per diluted share and adjusted earnings before interest, taxes and amortization ("Adjusted EBITDA"), each of which is a non-GAAP financial measure.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Non-GAAP measures are not substitutes for GAAP measures for the purpose of analyzing financial performance. The disclosure of these measures does not reflect all charges and gains that were actually recognized by Digi. These non-GAAP measures are not in accordance with, or, an alternative for measures prepared in accordance with GAAP and may be different from non-GAAP measures used by other companies or presented by us in prior reports. In addition, these non-GAAP measures are not based on any comprehensive set of accounting rules or principles. We believe that non-GAAP measures have limitations in that they do not reflect all of the amounts associated with our results of operations as determined in accordance with GAAP. We believe these measures should only be used to evaluate our results of operations in conjunction with the corresponding GAAP measures. Additionally, Adjusted EBITDA does not reflect our cash expenditures, the cash requirements for the replacement of depreciated and amortized assets, or changes in or cash requirements for our working capital needs.</w:t>
      </w:r>
    </w:p>
    <w:p>
      <w:pPr>
        <w:spacing w:after="0" w:line="1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believe that providing historical and adjusted net income and adjusted net income per diluted share, respectively, exclusive of such items as reversals of tax reserves, discrete tax benefits, restructuring charges and reversals, intangible amortization, stock-based compensation, other non-operating income/expense, adjustments to estimates of contingent consideration, acquisition-related expenses and interest expense related to acquisition permits investors to compare results with prior periods that did not include these items. Management uses the aforementioned non-GAAP measures to monitor and evaluate ongoing operating results and trends and to gain an understanding of our comparative operating performance. In addition, certain of our stockholders have expressed an interest in seeing financial performance measures exclusive of the impact of these matters, which while important, are not central to the core operations of our business. Management believes that Adjusted EBITDA, defined as EBITDA adjusted for stock-based compensation expense, acquisition-related expenses, restructuring charges and reversals and changes in fair value of contingent consideration is useful to investors to evaluate our core operating results and financial performance because it excludes items that are significant non-cash or non-recurring expenses reflected in the consolidated statements of operations. We believe that the presentation of Adjusted EBITDA as a percentage of revenue is useful because it provides a reliable and consistent approach to measuring our performance from year to year and in assessing our performance against that of other companies. We believe this information helps compare operating results and corporate performance exclusive of the impact of our capital structure and the method by which assets were acquired.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reconciliations from GAAP to Non-GAAP information that we feel is important to our business: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Year ended September 30,</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6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color w:val="auto"/>
              </w:rPr>
              <w:t>2021</w:t>
            </w:r>
          </w:p>
        </w:tc>
      </w:tr>
      <w:tr>
        <w:trPr>
          <w:trHeight w:val="178"/>
        </w:trPr>
        <w:tc>
          <w:tcPr>
            <w:tcW w:w="6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 of total</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 of total</w:t>
            </w:r>
          </w:p>
        </w:tc>
      </w:tr>
      <w:tr>
        <w:trPr>
          <w:trHeight w:val="234"/>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revenue</w:t>
            </w:r>
          </w:p>
        </w:tc>
      </w:tr>
      <w:tr>
        <w:trPr>
          <w:trHeight w:val="248"/>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6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r>
      <w:tr>
        <w:trPr>
          <w:trHeight w:val="248"/>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79,415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Net Income and Net Income per Diluted Share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Adjusted Net Income and Adjusted Net Income per Diluted Share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Year ended September 30,</w:t>
            </w: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and net income per diluted share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expense</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9"/>
        </w:trPr>
        <w:tc>
          <w:tcPr>
            <w:tcW w:w="72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Tax effect from above net income adjustments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29"/>
        </w:trPr>
        <w:tc>
          <w:tcPr>
            <w:tcW w:w="72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Discrete tax benefits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48"/>
        </w:trPr>
        <w:tc>
          <w:tcPr>
            <w:tcW w:w="72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net income and adjusted net income per diluted share </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35,995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33,394</w:t>
            </w:r>
          </w:p>
        </w:tc>
        <w:tc>
          <w:tcPr>
            <w:tcW w:w="0" w:type="dxa"/>
            <w:vAlign w:val="bottom"/>
          </w:tcPr>
          <w:p>
            <w:pPr>
              <w:spacing w:after="0"/>
              <w:rPr>
                <w:sz w:val="1"/>
                <w:szCs w:val="1"/>
                <w:color w:val="auto"/>
              </w:rPr>
            </w:pPr>
          </w:p>
        </w:tc>
      </w:tr>
      <w:tr>
        <w:trPr>
          <w:trHeight w:val="21"/>
        </w:trPr>
        <w:tc>
          <w:tcPr>
            <w:tcW w:w="7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effect from the above adjustments assumes and estimated effective tax rate of 18.0% for fiscal 2022 and 2021 based on adjusted net income.</w:t>
      </w:r>
    </w:p>
    <w:p>
      <w:pPr>
        <w:spacing w:after="0" w:line="27" w:lineRule="exact"/>
        <w:rPr>
          <w:rFonts w:ascii="Times New Roman" w:cs="Times New Roman" w:eastAsia="Times New Roman" w:hAnsi="Times New Roman"/>
          <w:sz w:val="18"/>
          <w:szCs w:val="18"/>
          <w:color w:val="auto"/>
        </w:rPr>
      </w:pPr>
    </w:p>
    <w:p>
      <w:pPr>
        <w:ind w:left="340" w:right="360" w:hanging="332"/>
        <w:spacing w:after="0" w:line="250" w:lineRule="auto"/>
        <w:tabs>
          <w:tab w:leader="none" w:pos="33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twelve months ended September 30, 2022, discrete tax benefits include excess tax benefits recognized on stock compensation and expiring statute of limitations. For the twelve months ended September 30, 2021,discrete tax benefits include excess tax benefits recognized on stock compensation, an adjustment of our state deferred tax rate due to the Opengear acquisition and expiring statute of limitations.</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share may not add due to the use of rounded numbers.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Historically we have financed our operations and capital expenditures principally with funds generated from operations. In fiscal 2021 we issued an equity offering and in fiscal 2022 we issued debt to fund our acquisition of Ventus. Our liquidity requirements arise from our working capital needs, and to a lesser extent, our need to fund capital expenditures to support our current operations and facilitate growth and expansion.</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On December 22, 2021, Digi entered into a third amended and restated credit agreement with BMO. Digi refinanced the Term Loan Facility and Revolving Loan Facility under its existing credit agreement entered into on November 1, 2021, but did not receive any additional proceeds from nor modify the amounts of any facilities or subfacilities contained within that credit agreement. The credit agreement consists of a $350 million term loan B secured loan and a $35 million revolving credit facility. The $35 million revolving credit facility, which presently has no outstanding balance, includes a $10 million letter of credit subfacility and $10 million swingline subfacility. As of September 30, 2022, $35.0 million remained available under the Revolving Loan, which included $10 million available for a letter of credit subfacility and $10 million available under a swingline subfacility, the outstanding amounts of which decrease the available commitment. For additional information regarding the terms of our Credit Facility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our consolidated financial statements.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during the second quarter of fiscal 2021 we sold 4,025,000 shares of our common stock and received net proceeds of $73.8 million.</w:t>
      </w:r>
    </w:p>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expect positive cash flows from operations. We believe that our current cash and cash equivalents balances, cash generated from operations and our ability to borrow under our credit facility will be sufficient to fund our business operations and capital expenditures for the next twelve months and beyond.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follows, our consolidated statement of cash flows for the years ended September 30, 2022 and 2021 is summarized: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Year ended September 30,</w:t>
            </w:r>
          </w:p>
        </w:tc>
      </w:tr>
      <w:tr>
        <w:trPr>
          <w:trHeight w:val="22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57,723</w:t>
            </w:r>
          </w:p>
        </w:tc>
      </w:tr>
      <w:tr>
        <w:trPr>
          <w:trHeight w:val="23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(21,365)</w:t>
            </w:r>
          </w:p>
        </w:tc>
      </w:tr>
      <w:tr>
        <w:trPr>
          <w:trHeight w:val="229"/>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62,242</w:t>
            </w:r>
          </w:p>
        </w:tc>
      </w:tr>
      <w:tr>
        <w:trPr>
          <w:trHeight w:val="229"/>
        </w:trPr>
        <w:tc>
          <w:tcPr>
            <w:tcW w:w="8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48"/>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98,303</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 decreased $20.0 million primarily as a result of:</w:t>
      </w:r>
    </w:p>
    <w:p>
      <w:pPr>
        <w:spacing w:after="0" w:line="119" w:lineRule="exact"/>
        <w:rPr>
          <w:sz w:val="20"/>
          <w:szCs w:val="20"/>
          <w:color w:val="auto"/>
        </w:rPr>
      </w:pPr>
    </w:p>
    <w:p>
      <w:pPr>
        <w:ind w:left="660" w:right="68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operating assets and liabilities (net of acquisitions) during the period of $25.3 million, including a $41.4 million increase in inventory, compared to a decrease of $13.6 million in fiscal 2021,</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fair value of contingent consideration of $6.2 million in 2022 compared to an increase of $5.8 million in fiscal 2021, and</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provision for bad debt.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These decreases were partially offset by:</w:t>
      </w:r>
    </w:p>
    <w:p>
      <w:pPr>
        <w:spacing w:after="0" w:line="200"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 increase in the provision for inventory of $5.7 million in fiscal 2022.</w:t>
      </w:r>
    </w:p>
    <w:p>
      <w:pPr>
        <w:spacing w:after="0" w:line="18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depreciation and amortization expenses, deferred income tax benefits and net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 decreased $328.2 million primarily as a result of:</w:t>
      </w:r>
    </w:p>
    <w:p>
      <w:pPr>
        <w:spacing w:after="0" w:line="119" w:lineRule="exact"/>
        <w:rPr>
          <w:sz w:val="20"/>
          <w:szCs w:val="20"/>
          <w:color w:val="auto"/>
        </w:rPr>
      </w:pPr>
    </w:p>
    <w:p>
      <w:pPr>
        <w:ind w:left="660" w:right="1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of $328.4 million used for acquisitions, primarily related to our November 2021 acquisition of Ventus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the consolidated financial statements).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 increased $130.5 million primarily as a result of:</w:t>
      </w:r>
    </w:p>
    <w:p>
      <w:pPr>
        <w:spacing w:after="0" w:line="119"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$350.0 million in proceeds from the Term Loan issued in November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increase was partially offset by:</w:t>
      </w:r>
    </w:p>
    <w:p>
      <w:pPr>
        <w:spacing w:after="0" w:line="187"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debt issuance costs of $13.4 million,</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$73.8 million in proceeds from stock issuance in Q2 2021,</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$48.1 million upon the closing of the Term Loan issued in November 2021 to retire the previous credit facility, and</w:t>
      </w:r>
    </w:p>
    <w:p>
      <w:pPr>
        <w:spacing w:after="0" w:line="184"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early payments of $100.0 million on the new Term Loan issued in November 2021 compared to $15.6 million in debt payments in fiscal 2021 on the previous credit facility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CONTRACTUAL OBLIGATIONS</w:t>
            </w: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05"/>
        </w:trPr>
        <w:tc>
          <w:tcPr>
            <w:tcW w:w="5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summarizes our contractual obligations at September 30, 2022:</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5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8"/>
                <w:szCs w:val="18"/>
                <w:color w:val="auto"/>
              </w:rPr>
              <w:t>Payments due by fiscal period</w:t>
            </w: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178"/>
        </w:trPr>
        <w:tc>
          <w:tcPr>
            <w:tcW w:w="5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20"/>
              <w:spacing w:after="0" w:line="177" w:lineRule="exact"/>
              <w:rPr>
                <w:sz w:val="20"/>
                <w:szCs w:val="20"/>
                <w:color w:val="auto"/>
              </w:rPr>
            </w:pPr>
            <w:r>
              <w:rPr>
                <w:rFonts w:ascii="Times New Roman" w:cs="Times New Roman" w:eastAsia="Times New Roman" w:hAnsi="Times New Roman"/>
                <w:sz w:val="18"/>
                <w:szCs w:val="18"/>
                <w:color w:val="auto"/>
                <w:w w:val="99"/>
              </w:rPr>
              <w:t>Less than 1</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4"/>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year</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1-3 years</w:t>
            </w: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 years</w:t>
            </w:r>
          </w:p>
        </w:tc>
        <w:tc>
          <w:tcPr>
            <w:tcW w:w="14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Thereafter</w:t>
            </w:r>
          </w:p>
        </w:tc>
      </w:tr>
      <w:tr>
        <w:trPr>
          <w:trHeight w:val="223"/>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162,500</w:t>
            </w: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long-term debt</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w:t>
            </w:r>
          </w:p>
        </w:tc>
      </w:tr>
      <w:tr>
        <w:trPr>
          <w:trHeight w:val="223"/>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355,149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71,443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64,491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181,102</w:t>
            </w:r>
          </w:p>
        </w:tc>
      </w:tr>
      <w:tr>
        <w:trPr>
          <w:trHeight w:val="21"/>
        </w:trPr>
        <w:tc>
          <w:tcPr>
            <w:tcW w:w="5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operating lease agreements included above primarily relate to office space. The table above does not include our possible payments for uncertain tax positions. Our reserve for uncertain tax positions, including accrued interest and penalties, was $3.3 million as of September 30, 2022. Due to the nature of the underlying liabilities and the extended time often needed to resolve income tax uncertainties, we cannot make reliable estimates of the amount or timing of future cash payments that may be required to settle these liabilities. The above table also does not include those obligations for royalties under license agreements as these royalties are calculated based on future sales of licensed products and we cannot make reliable estimates of the amount of cash payments.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not exposed to foreign currency transaction risk associated with sales transactions as the majority of our sales are denominated in U.S. Dollars. We are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We have not implemented a formal hedging strategy.</w:t>
      </w:r>
    </w:p>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2022 and 2021, we had approximately $85.8 million and $80.7 million, respectively, of revenue related to foreign customers including export sales, of which $0.8 million were denominated in foreign currencies, predominantly the Canadian Dollar. During fiscal 2020, we had approximately $65.8 million of revenue to foreign customers including export sales, of which $1.7 million was denominated in foreign currencies, predominantly the Euro and British Pound. In future periods, we continue to expect that the majority of our sales will be in U.S. Dollar.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DEVELOPMENTS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information on new accounting pronouncements, see </w:t>
      </w:r>
      <w:r>
        <w:rPr>
          <w:rFonts w:ascii="Times New Roman" w:cs="Times New Roman" w:eastAsia="Times New Roman" w:hAnsi="Times New Roman"/>
          <w:sz w:val="18"/>
          <w:szCs w:val="18"/>
          <w:u w:val="single" w:color="auto"/>
          <w:color w:val="0000FF"/>
        </w:rPr>
        <w:t>Note 1</w:t>
      </w:r>
      <w:r>
        <w:rPr>
          <w:rFonts w:ascii="Times New Roman" w:cs="Times New Roman" w:eastAsia="Times New Roman" w:hAnsi="Times New Roman"/>
          <w:sz w:val="18"/>
          <w:szCs w:val="18"/>
          <w:color w:val="auto"/>
        </w:rPr>
        <w:t xml:space="preserve"> to our consolidated financial statements.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CRITICAL ACCOUNTING POLICIES AND ESTIMATES</w:t>
      </w:r>
    </w:p>
    <w:p>
      <w:pPr>
        <w:spacing w:after="0" w:line="18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consolidated financial statements requires us to make estimates and judgments that affect the reported amounts of assets, liabilities, revenue and expenses, the disclosure of contingent assets and liabilities and the values of purchased assets and assumed liabilities in acquisitions. We base our estimates on historical experience and various other assumptions that we believed to be reasonable under the circumstances, the results of which form the basis for making judgments about the carrying values of assets and liabilities that are not readily apparent from other sources. Actual results may differ from these estimates.</w:t>
      </w:r>
    </w:p>
    <w:p>
      <w:pPr>
        <w:spacing w:after="0" w:line="147"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believe the following critical accounting policies impact our more significant judgments and estimates used in the preparation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RECOGNITION</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recognize hardware product revenue upon transfer of control of goods or services to customers in an amount that reflects the consideration we expect to receive in exchange for those goods or services. We determine the amount of revenue to be recognized through application of the following steps:</w:t>
      </w:r>
    </w:p>
    <w:p>
      <w:pPr>
        <w:spacing w:after="0" w:line="5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the performance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Hardware Product Revenue and SmartSense by Digi Equipment Revenue and Associated Installation Fees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 xml:space="preserve">Our hardware product revenue is derived primarily from the sale of wired and wireless hardware products to our distributors and direct/original equipment manufacturer (“Direct/OEM”) customers. Product revenue generally is recognized upon shipment of the product to a customer. Sales to authorized domestic distributors and Direct/OEM customers typically are made with certain rights of return and price adjustment provisions. Estimated reserves for future credit returns and pricing adjustments are established based on an analysis of historical patterns of credit returns and price adjustments compared to received credit returns and distribution sales for the current period. Estimated reserves for future credit returns and price adjustments are charged against revenue in the same period as the corresponding sales are recorded. Estimated sales returns for our distributor stock rotation program are accounted for under the guidance of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 Material differences between the historical trends used to determine estimated reserves and actual credit returns and pricing adjustments could result in a material change to our consolidated results of operations or financial position.</w:t>
      </w:r>
    </w:p>
    <w:p>
      <w:pPr>
        <w:spacing w:after="0" w:line="16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Equipment revenue from SmartSense by Digi within our IoT Solutions segment is recognized upon shipment of the equipment to a customer. Installation service charges from these sales are recorded when the product is installed.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and Support Services Revenue</w:t>
      </w:r>
    </w:p>
    <w:p>
      <w:pPr>
        <w:spacing w:after="0" w:line="187"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Our SmartSense by Digi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Ventus subscription revenue is based on contracts with at least an annual term and is recorded on a monthly basis. These subscriptions are generally in a range from one to five years, and may contain an evergreen renewal provision. Generally, our subscription renewal charges per month are the same as the original contract term.</w:t>
      </w:r>
    </w:p>
    <w:p>
      <w:pPr>
        <w:spacing w:after="0" w:line="17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also derive service revenue from our Digi Remote Manager, a platform-as-a-service (“PaaS”) offering, whereby customers pay for services consumed based on the number of devices being managed or monitored. This revenue is recognized over the life of the service term and is included in our IoT Products &amp; Services segment.</w:t>
      </w:r>
    </w:p>
    <w:p>
      <w:pPr>
        <w:spacing w:after="0" w:line="13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Digi Support Services revenues are recognized over the life of the support contract and included in our IoT Products &amp; Services segment. Some of Digi Support Services revenue is for training and this revenue is recognized as the services are performed.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 Revenue</w:t>
      </w:r>
    </w:p>
    <w:p>
      <w:pPr>
        <w:spacing w:after="0" w:line="20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Professional services revenue is derived from our Digi Wireless Design Services contracts on either on a time-and-materials or a fixed-fee basis. These revenues, which are included in our IoT Products &amp; Services segment are recognized as the services are performed for time-and-materials contracts or as invoiced for fixed-fee contracts.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we have contracts from customers with multiple performance obligations. Our hardware products may be combined with our Digi Remote Manager PaaS offering as well as other support services in an individual contract. Our SmartSense by Digi revenues typically are derived from contracts with multiple performance obligations. These obligations may include: delivery of monitoring equipment that the customer purchases out-right , monitoring services, providing condition alerts of assets being monitored, and recertification of sensor equipment. When we retain ownership of the equipment, we charge an implementation fee to the customer so they can begin using the equipment. In these instances, all revenue derived from the above obligations is recognized over the subscription term of the contract. If the customer purchases the equipment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out-right, that portion of the revenue is recognized at the stand-alone selling price at the time the equipment is shipped and all other revenue is recognized over the subscription term of the contract. We have made an accounting policy election to exclude from the measurement of our revenues any sales or similar taxes we collect from customers.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w:t>
      </w:r>
    </w:p>
    <w:p>
      <w:pPr>
        <w:spacing w:after="0" w:line="18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determined using the first-in, first-out method. We reduce the carrying value of our inventories for estimated excess and obsolete inventories equal to the difference between the cost of inventory and its estimated realizable value based upon assumptions about future product demand and market conditions. These estimates are subject to uncertainty and involve the use of historical data and future market expectations. Once the new cost basis is established, the value is not increased with any changes in circumstances that would indicate an increase in value after the re-measurement. If actual product demand or market conditions are less favorable than those projected by management, additional inventory write-downs may be required that could result in a material change to our consolidated results of operations or financial position.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19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Goodwill represents the excess of cost over the fair value of identifiable assets acquired. Goodwill is tested for impairment on an annual basis as of June 30, or more frequently if events or circumstances occur which could indicate impairment. For our quantitative goodwill impairment tests, we determine the estimated fair value of each reporting unit and compare it to the carrying value of the reporting unit, including goodwill. If the carrying amount of a reporting unit is higher than its estimated fair value, an impairment loss must be recognized for the excess. We have two reportable operating segments, our IoT Products &amp; Services segment and our IoT Solutions segment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to the consolidated financial statements). Effective with the reorganization announcement on October 7, 2020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our IoT Products &amp; Services business is now structured to include four reporting units under the IoT Products &amp; Services segment, each with a reporting manager: Cellular Routers, Console Servers, OEM Solutions and Infrastructure Management. Following our acquisition of Ventus in the first fiscal quarter of 2022, IoT Solutions is comprised of two reporting units; Ventus and SmartSense. We have six reporting units that have been tested individually for impairment.</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fair value of each reporting unit is determined using a weighted combination of an income and market approach. A discounted cash flow (“DCF”) method is utilized for the income approach. In developing the discounted cash flow analysis, our assumptions about future revenues, expenses, capital expenditures, and changes in working capital are based on management’s projections, and assume a terminal growth rate thereafter. A separate discount rate is determined for each reporting unit and these cash flows are then discounted to determine the fair value of the reporting unit. The market approach determines a value derived from the guideline company method. This market approach method estimates the price reasonably expected to be realized from the sale of the reporting unit based on comparable companies.</w:t>
      </w:r>
    </w:p>
    <w:p>
      <w:pPr>
        <w:spacing w:after="0" w:line="14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We believe we made a reasonable estimate with the assumptions used to calculate the fair values of our two reporting segments. Changes in circumstances or a potential event could negatively affect the estimated fair values. We will continue to monitor potential COVID-19 industry and demand impacts as this could potentially affect our cash flows and market capitalization. If our future operating results do not meet current forecasts or if we experience a sustained decline in our market capitalization that is determined to be indicative of a reduction in fair value of one or more of our reporting units, we may be required to record future impairment charges for goodwill.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our Fiscal 2022 Annual Impairment Test</w:t>
      </w:r>
    </w:p>
    <w:p>
      <w:pPr>
        <w:spacing w:after="0" w:line="18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As of June 30, 2022, we had a total of $32.7 million of goodwill for the Enterprise Routers reporting unit, $57.1 million of goodwill for the Console Servers reporting unit, $63.7 million of goodwill for the OEM Solutions reporting unit, $20.4 million of goodwill for the Infrastructure Management reporting unit, $49.5 million of goodwill for the SmartSense reporting unit and $118.3 million of goodwill for the Ventus reporting unit. At June 30, 2022, the fair value of goodwill exceeded the carrying value for all six reporting units. SmartSense and Ventus fair values exceeded carrying values by less than 10%. Implied fair value for each reporting unit was calculated on a standalone basis using a weighted combination of the income approach and market approach. The implied fair values of each reporting unit were added together along with our unallocated assets to get an indicated value of total equity to which a range of indicated value of total equity was derived. This range was compared to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total market capitalization of $852.0 million as of June 30, 2022. This implied a range of control (deficit)/ premiums of (5.6)% to 7.9%. This range of control premiums fell below the control premiums observed in the last five years in the communications equipment industry. As a result, the market capitalization reconciliation analysis proved support for the reasonableness of the fair values estimated for each individual reporting unit.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CONSIDERATION</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measure our contingent consideration liabilities recognized in connection with business combinations at fair value on a recurring basis using significant unobservable inputs classified within Level 3 of the fair value hierarchy as defined in ASC 820 "Fair Value Measurement". We used a probability-weighted discounted cash flow approach as the valuation technique to determine the fair value of the contingent consideration on the acquisition date. At each subsequent reporting period, the fair value is re-measured with the change in fair value recognized in general and administrative expense in our consolidated statements of operations. Any amounts paid to the sellers in excess of the amount recorded on the acquisition date will be classified as cash flows used in operating activities. Payments to the sellers not exceeding the acquisition-date fair value of the contingent consideration will be classified as cash flows used in financing activities.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TAXES</w:t>
      </w:r>
    </w:p>
    <w:p>
      <w:pPr>
        <w:spacing w:after="0" w:line="1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operate in multiple tax jurisdictions both in and outside of the U.S. Accordingly, we must determine the appropriate allocation of income to each of these jurisdictions. This determination requires us to make several estimates and assumptions. Tax audits associated with the allocation of this income, and other complex issues, may require an extended period of time to resolve. They also could result in adjustments to our income tax balances that are material to our consolidated financial position and results of operations and could result in potential cash outflows. Liabilities for uncertain tax positions are also established for potential and ongoing audits of federal, state and international issues. We routinely monitor the potential impact of such situations and believe that liabilities are properly stated. Valuations related to amounts owed and tax rates could be impacted by changes to tax codes and our interpretation thereof, changes in statutory rates, our future taxable income levels and the results of tax audits.</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RISK</w:t>
      </w:r>
    </w:p>
    <w:p>
      <w:pPr>
        <w:spacing w:after="0" w:line="18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may be exposed to interest rate risk should we decide to invest in marketable securities. When we held marketable securities, we classified them as available-for-sale and were carried at fair value. Our investments historically consisted of money market funds, certificates of deposit, commercial paper, corporate bonds and government municipal bonds. Our investment policy specifies the types of eligible investments and minimum credit quality of our investments, as well as diversification and concentration limits which mitigate our risk. We do not use derivative financial instruments to hedge against interest rate risk because the majority of our investments mature in less than one year.</w:t>
      </w:r>
    </w:p>
    <w:p>
      <w:pPr>
        <w:spacing w:after="0" w:line="1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amounts borrowed under the Credit Facility. As of September 30, 2022, we had $250.0 million outstanding under our Term Loan and $0.0 million outstanding under our Revolving Loan. Borrowings under the Term Loan Facility bear interest at a rate per annum equal to LIBOR with a floor of 0.50% for an interest period of one, three or six months as selected by Digi, reset at the end of the selected interest period (or a replacement benchmark rate if LIBOR is no longer available) plus 5.00% or a base rate plus 4.00%. The base rate is determined by reference to the highest of BMO’s prime rate, the Federal Funds Effective Rate plus 0.5%, or the one-month LIBOR for U.S. dollars plus</w:t>
      </w:r>
    </w:p>
    <w:p>
      <w:pPr>
        <w:spacing w:after="0" w:line="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 xml:space="preserve">1.00%. The applicable margin for loans under the Revolving Credit Facility is in a range of 4.00-3.75% for LIBOR loans and 3.00 to 2.75% for base rate loans, depending on Digi’s consolidated leverage ratio. Based on the balance sheet position for both the Term Loan and Revolving Loan at September 30, 2022, the annualized effect of a 25 basis point change in interest rates would increase or decrease our interest expense by $0.6 million. For additional information,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to our consolidated financial statements. For our Credit Facility, interest rate changes generally do not affect the fair value of the debt instruments, but do impact future earnings and cash flows, assuming other factors are held constant. If interest rates remain elevated, we will continue to see interest expenses that are higher than historical amounts.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RISK</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exposed to foreign currency transaction risk associated with certain sales being denominated in Canadian Dollars and in certain cases, transactions in U.S. Dollars in our foreign entities. We are also exposed to foreign currency translation risk as the financial position and operating results of our foreign subsidiaries are translated into U.S. Dollars for consolidation. We manage our net asset or net liability position for non-functional currency accounts, primarily the U.S. dollar accounts in our foreign locations to reduce our foreign currency risk. In addition, as foreign currency rates fluctuate, we may from time to time, adjust the prices of our products, services and subscriptions. We have not implemented a formal hedging strategy.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compares the average monthly exchange rates of the Euro, British Pound Canadian Dollar, Indian Rupee and Australian Dollar: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Pr>
          <w:p>
            <w:pPr>
              <w:spacing w:after="0"/>
              <w:rPr>
                <w:sz w:val="18"/>
                <w:szCs w:val="18"/>
                <w:color w:val="auto"/>
              </w:rPr>
            </w:pPr>
          </w:p>
        </w:tc>
        <w:tc>
          <w:tcPr>
            <w:tcW w:w="268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Fiscal year ended</w:t>
            </w:r>
          </w:p>
        </w:tc>
        <w:tc>
          <w:tcPr>
            <w:tcW w:w="1400" w:type="dxa"/>
            <w:vAlign w:val="bottom"/>
          </w:tcPr>
          <w:p>
            <w:pPr>
              <w:spacing w:after="0"/>
              <w:rPr>
                <w:sz w:val="18"/>
                <w:szCs w:val="18"/>
                <w:color w:val="auto"/>
              </w:rPr>
            </w:pPr>
          </w:p>
        </w:tc>
      </w:tr>
      <w:tr>
        <w:trPr>
          <w:trHeight w:val="243"/>
        </w:trPr>
        <w:tc>
          <w:tcPr>
            <w:tcW w:w="7060" w:type="dxa"/>
            <w:vAlign w:val="bottom"/>
          </w:tcPr>
          <w:p>
            <w:pPr>
              <w:spacing w:after="0"/>
              <w:rPr>
                <w:sz w:val="21"/>
                <w:szCs w:val="21"/>
                <w:color w:val="auto"/>
              </w:rPr>
            </w:pPr>
          </w:p>
        </w:tc>
        <w:tc>
          <w:tcPr>
            <w:tcW w:w="268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September 30,</w:t>
            </w:r>
          </w:p>
        </w:tc>
        <w:tc>
          <w:tcPr>
            <w:tcW w:w="14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 increase</w:t>
            </w:r>
          </w:p>
        </w:tc>
      </w:tr>
      <w:tr>
        <w:trPr>
          <w:trHeight w:val="223"/>
        </w:trPr>
        <w:tc>
          <w:tcPr>
            <w:tcW w:w="706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(decrease)</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1.1057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1.1377</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1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0.7768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0.7911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0.0130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1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0.7105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0.7510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15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10.0% change from the 2022 average exchange rate for the Euro, British Pound Canadian Dollar, Indian Rupee and Australian Dollar to the U.S. Dollar would have resulted in an immaterial increase or decrease in fiscal 2022 annual revenue and a 1.2% increase or decrease in stockholders' equity at September 30, 2022. The above analysis does not take into consideration any pricing adjustments we may make in response to changes in the exchange rates.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RISK</w:t>
      </w:r>
    </w:p>
    <w:p>
      <w:pPr>
        <w:spacing w:after="0" w:line="18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have some exposure to credit risk related to our accounts receivable portfolio. Exposure to credit risk is controlled through regular monitoring of customer financial status, credit limits and collaboration with sales management on customer contacts to facilitate payment.</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831"/>
        </w:trPr>
        <w:tc>
          <w:tcPr>
            <w:tcW w:w="101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83"/>
        </w:trPr>
        <w:tc>
          <w:tcPr>
            <w:tcW w:w="20" w:type="dxa"/>
            <w:vAlign w:val="bottom"/>
          </w:tcPr>
          <w:p>
            <w:pPr>
              <w:spacing w:after="0"/>
              <w:rPr>
                <w:sz w:val="15"/>
                <w:szCs w:val="15"/>
                <w:color w:val="auto"/>
              </w:rPr>
            </w:pPr>
          </w:p>
        </w:tc>
        <w:tc>
          <w:tcPr>
            <w:tcW w:w="10120" w:type="dxa"/>
            <w:vAlign w:val="bottom"/>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248)</w:t>
            </w:r>
          </w:p>
        </w:tc>
        <w:tc>
          <w:tcPr>
            <w:tcW w:w="110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9"/>
              </w:rPr>
              <w:t>37</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1400" w:type="dxa"/>
            <w:vAlign w:val="bottom"/>
            <w:gridSpan w:val="5"/>
          </w:tcPr>
          <w:p>
            <w:pPr>
              <w:spacing w:after="0"/>
              <w:rPr>
                <w:sz w:val="18"/>
                <w:szCs w:val="18"/>
                <w:color w:val="auto"/>
              </w:rPr>
            </w:pPr>
          </w:p>
        </w:tc>
        <w:tc>
          <w:tcPr>
            <w:tcW w:w="590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gridSpan w:val="5"/>
          </w:tcPr>
          <w:p>
            <w:pPr>
              <w:spacing w:after="0"/>
              <w:rPr>
                <w:sz w:val="18"/>
                <w:szCs w:val="18"/>
                <w:color w:val="auto"/>
              </w:rPr>
            </w:pPr>
          </w:p>
        </w:tc>
        <w:tc>
          <w:tcPr>
            <w:tcW w:w="6380" w:type="dxa"/>
            <w:vAlign w:val="bottom"/>
            <w:gridSpan w:val="2"/>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240" w:type="dxa"/>
            <w:vAlign w:val="bottom"/>
            <w:gridSpan w:val="5"/>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41</w:t>
            </w:r>
          </w:p>
        </w:tc>
      </w:tr>
      <w:tr>
        <w:trPr>
          <w:trHeight w:val="20"/>
        </w:trPr>
        <w:tc>
          <w:tcPr>
            <w:tcW w:w="20" w:type="dxa"/>
            <w:vAlign w:val="bottom"/>
          </w:tcPr>
          <w:p>
            <w:pPr>
              <w:spacing w:after="0" w:line="20" w:lineRule="exact"/>
              <w:rPr>
                <w:sz w:val="1"/>
                <w:szCs w:val="1"/>
                <w:color w:val="auto"/>
              </w:rPr>
            </w:pPr>
          </w:p>
        </w:tc>
        <w:tc>
          <w:tcPr>
            <w:tcW w:w="2880" w:type="dxa"/>
            <w:vAlign w:val="bottom"/>
            <w:gridSpan w:val="4"/>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42</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100" w:type="dxa"/>
            <w:vAlign w:val="bottom"/>
          </w:tcPr>
          <w:p>
            <w:pPr>
              <w:spacing w:after="0"/>
              <w:rPr>
                <w:sz w:val="18"/>
                <w:szCs w:val="18"/>
                <w:color w:val="auto"/>
              </w:rPr>
            </w:pPr>
          </w:p>
        </w:tc>
        <w:tc>
          <w:tcPr>
            <w:tcW w:w="6600" w:type="dxa"/>
            <w:vAlign w:val="bottom"/>
            <w:gridSpan w:val="3"/>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43</w:t>
            </w:r>
          </w:p>
        </w:tc>
      </w:tr>
      <w:tr>
        <w:trPr>
          <w:trHeight w:val="925"/>
        </w:trPr>
        <w:tc>
          <w:tcPr>
            <w:tcW w:w="20" w:type="dxa"/>
            <w:vAlign w:val="bottom"/>
          </w:tcPr>
          <w:p>
            <w:pPr>
              <w:spacing w:after="0"/>
              <w:rPr>
                <w:sz w:val="24"/>
                <w:szCs w:val="24"/>
                <w:color w:val="auto"/>
              </w:rPr>
            </w:pPr>
          </w:p>
        </w:tc>
        <w:tc>
          <w:tcPr>
            <w:tcW w:w="3420" w:type="dxa"/>
            <w:vAlign w:val="bottom"/>
            <w:tcBorders>
              <w:top w:val="single" w:sz="8" w:color="0000FF"/>
            </w:tcBorders>
            <w:gridSpan w:val="5"/>
          </w:tcPr>
          <w:p>
            <w:pPr>
              <w:spacing w:after="0"/>
              <w:rPr>
                <w:sz w:val="24"/>
                <w:szCs w:val="24"/>
                <w:color w:val="auto"/>
              </w:rPr>
            </w:pPr>
          </w:p>
        </w:tc>
        <w:tc>
          <w:tcPr>
            <w:tcW w:w="6700" w:type="dxa"/>
            <w:vAlign w:val="bottom"/>
            <w:gridSpan w:val="4"/>
          </w:tcPr>
          <w:p>
            <w:pPr>
              <w:jc w:val="right"/>
              <w:ind w:right="4420"/>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5040"/>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Board of Directors and Shareholders</w:t>
      </w:r>
    </w:p>
    <w:p>
      <w:pPr>
        <w:spacing w:after="0"/>
        <w:rPr>
          <w:sz w:val="20"/>
          <w:szCs w:val="20"/>
          <w:color w:val="auto"/>
        </w:rPr>
      </w:pPr>
      <w:r>
        <w:rPr>
          <w:rFonts w:ascii="Times New Roman" w:cs="Times New Roman" w:eastAsia="Times New Roman" w:hAnsi="Times New Roman"/>
          <w:sz w:val="18"/>
          <w:szCs w:val="18"/>
          <w:color w:val="auto"/>
        </w:rPr>
        <w:t>Digi International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Digi International Inc. (a Delaware corporation) and subsidiaries (the “Company”) as of September 30, 2022 and 2021, the related consolidated statements of operations, comprehensive income, stockholders’ equity, and cash flows for each of the three years in the period ended September 30, 2022, and the related notes and consolidated financial statement schedule included under Item 15(a) (collectively referred to as the “financial statements”). In our opinion, the financial statements present fairly, in all material respects, the financial position of the Company as of September 30, 2022 and 2021, and the results of its operations and its cash flows for each of the three years in the period ended September 30, 2022, in conformity with accounting principles generally accepted in the United States of America.</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September 30, 2022, based on criteria established in the 2013 Internal Control—Integrated Framework issued by the Committee of Sponsoring Organizations of the Treadway Commission (“COSO”), and our report dated November 23, 2022 expressed an unqualified opinion.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matters.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color w:val="auto"/>
                <w:w w:val="99"/>
              </w:rPr>
              <w:t>Year ended September 30,</w:t>
            </w:r>
          </w:p>
        </w:tc>
        <w:tc>
          <w:tcPr>
            <w:tcW w:w="1100" w:type="dxa"/>
            <w:vAlign w:val="bottom"/>
            <w:tcBorders>
              <w:bottom w:val="single" w:sz="8" w:color="auto"/>
            </w:tcBorders>
          </w:tcPr>
          <w:p>
            <w:pPr>
              <w:spacing w:after="0"/>
              <w:rPr>
                <w:sz w:val="20"/>
                <w:szCs w:val="20"/>
                <w:color w:val="auto"/>
              </w:rPr>
            </w:pPr>
          </w:p>
        </w:tc>
      </w:tr>
      <w:tr>
        <w:trPr>
          <w:trHeight w:val="223"/>
        </w:trPr>
        <w:tc>
          <w:tcPr>
            <w:tcW w:w="67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180" w:type="dxa"/>
            <w:vAlign w:val="bottom"/>
            <w:gridSpan w:val="7"/>
          </w:tcPr>
          <w:p>
            <w:pPr>
              <w:jc w:val="center"/>
              <w:ind w:right="230"/>
              <w:spacing w:after="0"/>
              <w:rPr>
                <w:sz w:val="20"/>
                <w:szCs w:val="20"/>
                <w:color w:val="auto"/>
              </w:rPr>
            </w:pPr>
            <w:r>
              <w:rPr>
                <w:rFonts w:ascii="Times New Roman" w:cs="Times New Roman" w:eastAsia="Times New Roman" w:hAnsi="Times New Roman"/>
                <w:sz w:val="18"/>
                <w:szCs w:val="18"/>
                <w:color w:val="auto"/>
                <w:w w:val="99"/>
              </w:rPr>
              <w:t>(in thousands, except per common share data)</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265,805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248,374</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30,897</w:t>
            </w:r>
          </w:p>
        </w:tc>
      </w:tr>
      <w:tr>
        <w:trPr>
          <w:trHeight w:val="223"/>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279,271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118,322</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r>
      <w:tr>
        <w:trPr>
          <w:trHeight w:val="229"/>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4,487</w:t>
            </w:r>
          </w:p>
        </w:tc>
      </w:tr>
      <w:tr>
        <w:trPr>
          <w:trHeight w:val="223"/>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 of sales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135,299</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143,972</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52,761</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43,765</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36,140</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Restructuring charge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132,655</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11,317</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w:t>
            </w:r>
          </w:p>
        </w:tc>
      </w:tr>
      <w:tr>
        <w:trPr>
          <w:trHeight w:val="229"/>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8,411</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28,849</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6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 (CONTINUED)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color w:val="auto"/>
                <w:w w:val="99"/>
              </w:rPr>
              <w:t>Year ended September 30,</w:t>
            </w:r>
          </w:p>
        </w:tc>
        <w:tc>
          <w:tcPr>
            <w:tcW w:w="1080" w:type="dxa"/>
            <w:vAlign w:val="bottom"/>
            <w:tcBorders>
              <w:bottom w:val="single" w:sz="8" w:color="auto"/>
            </w:tcBorders>
          </w:tcPr>
          <w:p>
            <w:pPr>
              <w:spacing w:after="0"/>
              <w:rPr>
                <w:sz w:val="20"/>
                <w:szCs w:val="20"/>
                <w:color w:val="auto"/>
              </w:rPr>
            </w:pPr>
          </w:p>
        </w:tc>
      </w:tr>
      <w:tr>
        <w:trPr>
          <w:trHeight w:val="223"/>
        </w:trPr>
        <w:tc>
          <w:tcPr>
            <w:tcW w:w="67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 thousands)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19,383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8,411</w:t>
            </w:r>
          </w:p>
        </w:tc>
      </w:tr>
      <w:tr>
        <w:trPr>
          <w:trHeight w:val="22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(3,308)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23"/>
        </w:trPr>
        <w:tc>
          <w:tcPr>
            <w:tcW w:w="6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(3,308)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r>
      <w:tr>
        <w:trPr>
          <w:trHeight w:val="248"/>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16,075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 (CONTINUED)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As of September 30,</w:t>
            </w:r>
          </w:p>
        </w:tc>
      </w:tr>
      <w:tr>
        <w:trPr>
          <w:trHeight w:val="210"/>
        </w:trPr>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2022</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rPr>
              <w:t>2021</w:t>
            </w:r>
          </w:p>
        </w:tc>
      </w:tr>
      <w:tr>
        <w:trPr>
          <w:trHeight w:val="210"/>
        </w:trPr>
        <w:tc>
          <w:tcPr>
            <w:tcW w:w="2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(in thousands, except share data)</w:t>
            </w:r>
          </w:p>
        </w:tc>
      </w:tr>
      <w:tr>
        <w:trPr>
          <w:trHeight w:val="219"/>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152,432</w:t>
            </w: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43,738</w:t>
            </w: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43,921</w:t>
            </w: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w:t>
            </w: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w:t>
            </w:r>
          </w:p>
        </w:tc>
      </w:tr>
      <w:tr>
        <w:trPr>
          <w:trHeight w:val="207"/>
        </w:trPr>
        <w:tc>
          <w:tcPr>
            <w:tcW w:w="84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166,208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246,658</w:t>
            </w:r>
          </w:p>
        </w:tc>
      </w:tr>
      <w:tr>
        <w:trPr>
          <w:trHeight w:val="219"/>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equipment and improvements, net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12,132</w:t>
            </w:r>
          </w:p>
        </w:tc>
      </w:tr>
      <w:tr>
        <w:trPr>
          <w:trHeight w:val="21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Identifiable intangible assets, net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118,029</w:t>
            </w:r>
          </w:p>
        </w:tc>
      </w:tr>
      <w:tr>
        <w:trPr>
          <w:trHeight w:val="219"/>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225,522</w:t>
            </w:r>
          </w:p>
        </w:tc>
      </w:tr>
      <w:tr>
        <w:trPr>
          <w:trHeight w:val="21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15,684</w:t>
            </w:r>
          </w:p>
        </w:tc>
      </w:tr>
      <w:tr>
        <w:trPr>
          <w:trHeight w:val="216"/>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r>
      <w:tr>
        <w:trPr>
          <w:trHeight w:val="212"/>
        </w:trPr>
        <w:tc>
          <w:tcPr>
            <w:tcW w:w="8440" w:type="dxa"/>
            <w:vAlign w:val="bottom"/>
            <w:gridSpan w:val="3"/>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853,895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619,531</w:t>
            </w:r>
          </w:p>
        </w:tc>
      </w:tr>
      <w:tr>
        <w:trPr>
          <w:trHeight w:val="20"/>
        </w:trPr>
        <w:tc>
          <w:tcPr>
            <w:tcW w:w="25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22,586</w:t>
            </w: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12,934</w:t>
            </w: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Unearned revenue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13,589</w:t>
            </w: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2,633</w:t>
            </w:r>
          </w:p>
        </w:tc>
      </w:tr>
      <w:tr>
        <w:trPr>
          <w:trHeight w:val="213"/>
        </w:trPr>
        <w:tc>
          <w:tcPr>
            <w:tcW w:w="84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11,036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7,199</w:t>
            </w:r>
          </w:p>
        </w:tc>
      </w:tr>
      <w:tr>
        <w:trPr>
          <w:trHeight w:val="212"/>
        </w:trPr>
        <w:tc>
          <w:tcPr>
            <w:tcW w:w="84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58,941</w:t>
            </w:r>
          </w:p>
        </w:tc>
      </w:tr>
      <w:tr>
        <w:trPr>
          <w:trHeight w:val="21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2,334</w:t>
            </w:r>
          </w:p>
        </w:tc>
      </w:tr>
      <w:tr>
        <w:trPr>
          <w:trHeight w:val="219"/>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13,493</w:t>
            </w:r>
          </w:p>
        </w:tc>
      </w:tr>
      <w:tr>
        <w:trPr>
          <w:trHeight w:val="213"/>
        </w:trPr>
        <w:tc>
          <w:tcPr>
            <w:tcW w:w="8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45,799</w:t>
            </w:r>
          </w:p>
        </w:tc>
      </w:tr>
      <w:tr>
        <w:trPr>
          <w:trHeight w:val="219"/>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18,368</w:t>
            </w:r>
          </w:p>
        </w:tc>
      </w:tr>
      <w:tr>
        <w:trPr>
          <w:trHeight w:val="213"/>
        </w:trPr>
        <w:tc>
          <w:tcPr>
            <w:tcW w:w="8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8,079</w:t>
            </w:r>
          </w:p>
        </w:tc>
      </w:tr>
      <w:tr>
        <w:trPr>
          <w:trHeight w:val="212"/>
        </w:trPr>
        <w:tc>
          <w:tcPr>
            <w:tcW w:w="844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352,382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147,014</w:t>
            </w:r>
          </w:p>
        </w:tc>
      </w:tr>
      <w:tr>
        <w:trPr>
          <w:trHeight w:val="155"/>
        </w:trPr>
        <w:tc>
          <w:tcPr>
            <w:tcW w:w="844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6"/>
                <w:szCs w:val="16"/>
                <w:color w:val="auto"/>
              </w:rPr>
              <w:t xml:space="preserve">Commitments and Contingencies (see </w:t>
            </w:r>
            <w:r>
              <w:rPr>
                <w:rFonts w:ascii="Times New Roman" w:cs="Times New Roman" w:eastAsia="Times New Roman" w:hAnsi="Times New Roman"/>
                <w:sz w:val="16"/>
                <w:szCs w:val="16"/>
                <w:color w:val="0000FF"/>
              </w:rPr>
              <w:t>Note 16</w:t>
            </w: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2520" w:type="dxa"/>
            <w:vAlign w:val="bottom"/>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8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Preferred stock, $.01 par value; 2,000,000 shares authorized; none issued and outstanding</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 $.01 par value; 60,000,000 shares authorized; 41,950,732 and 40,653,035 shares issued</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370,699</w:t>
            </w: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180,692</w:t>
            </w:r>
          </w:p>
        </w:tc>
      </w:tr>
      <w:tr>
        <w:trPr>
          <w:trHeight w:val="213"/>
        </w:trPr>
        <w:tc>
          <w:tcPr>
            <w:tcW w:w="844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(22,746)</w:t>
            </w:r>
          </w:p>
        </w:tc>
      </w:tr>
      <w:tr>
        <w:trPr>
          <w:trHeight w:val="219"/>
        </w:trPr>
        <w:tc>
          <w:tcPr>
            <w:tcW w:w="84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6,412,812 and 6,390,645 shares</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(56,535)</w:t>
            </w:r>
          </w:p>
        </w:tc>
      </w:tr>
      <w:tr>
        <w:trPr>
          <w:trHeight w:val="207"/>
        </w:trPr>
        <w:tc>
          <w:tcPr>
            <w:tcW w:w="8440" w:type="dxa"/>
            <w:vAlign w:val="bottom"/>
            <w:tcBorders>
              <w:bottom w:val="single" w:sz="8" w:color="CCEEFF"/>
            </w:tcBorders>
            <w:gridSpan w:val="3"/>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501,513</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472,517</w:t>
            </w:r>
          </w:p>
        </w:tc>
      </w:tr>
      <w:tr>
        <w:trPr>
          <w:trHeight w:val="237"/>
        </w:trPr>
        <w:tc>
          <w:tcPr>
            <w:tcW w:w="8440" w:type="dxa"/>
            <w:vAlign w:val="bottom"/>
            <w:tcBorders>
              <w:bottom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853,895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619,531</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 (CONTINUED)</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center"/>
              <w:ind w:left="621"/>
              <w:spacing w:after="0"/>
              <w:rPr>
                <w:sz w:val="20"/>
                <w:szCs w:val="20"/>
                <w:color w:val="auto"/>
              </w:rPr>
            </w:pPr>
            <w:r>
              <w:rPr>
                <w:rFonts w:ascii="Times New Roman" w:cs="Times New Roman" w:eastAsia="Times New Roman" w:hAnsi="Times New Roman"/>
                <w:sz w:val="16"/>
                <w:szCs w:val="16"/>
                <w:color w:val="auto"/>
                <w:w w:val="96"/>
              </w:rPr>
              <w:t>Year ended September 30,</w:t>
            </w:r>
          </w:p>
        </w:tc>
        <w:tc>
          <w:tcPr>
            <w:tcW w:w="1000" w:type="dxa"/>
            <w:vAlign w:val="bottom"/>
            <w:tcBorders>
              <w:bottom w:val="single" w:sz="8" w:color="auto"/>
            </w:tcBorders>
          </w:tcPr>
          <w:p>
            <w:pPr>
              <w:spacing w:after="0"/>
              <w:rPr>
                <w:sz w:val="19"/>
                <w:szCs w:val="19"/>
                <w:color w:val="auto"/>
              </w:rPr>
            </w:pPr>
          </w:p>
        </w:tc>
      </w:tr>
      <w:tr>
        <w:trPr>
          <w:trHeight w:val="211"/>
        </w:trPr>
        <w:tc>
          <w:tcPr>
            <w:tcW w:w="7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2020</w:t>
            </w:r>
          </w:p>
        </w:tc>
      </w:tr>
      <w:tr>
        <w:trPr>
          <w:trHeight w:val="22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10,366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8,411</w:t>
            </w: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1"/>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of property, equipment and improvements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w:t>
            </w:r>
          </w:p>
        </w:tc>
      </w:tr>
      <w:tr>
        <w:trPr>
          <w:trHeight w:val="211"/>
        </w:trPr>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16,534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14,754</w:t>
            </w:r>
          </w:p>
        </w:tc>
      </w:tr>
      <w:tr>
        <w:trPr>
          <w:trHeight w:val="221"/>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7,237</w:t>
            </w:r>
          </w:p>
        </w:tc>
      </w:tr>
      <w:tr>
        <w:trPr>
          <w:trHeight w:val="211"/>
        </w:trPr>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Deferred income tax provision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(3,357)</w:t>
            </w:r>
          </w:p>
        </w:tc>
      </w:tr>
      <w:tr>
        <w:trPr>
          <w:trHeight w:val="221"/>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Loss on sale of property, equipment and improvements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21"/>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for bad debt and product returns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2,135</w:t>
            </w:r>
          </w:p>
        </w:tc>
      </w:tr>
      <w:tr>
        <w:trPr>
          <w:trHeight w:val="211"/>
        </w:trPr>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Provision for inventory obsolescence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w:t>
            </w:r>
          </w:p>
        </w:tc>
      </w:tr>
      <w:tr>
        <w:trPr>
          <w:trHeight w:val="221"/>
        </w:trPr>
        <w:tc>
          <w:tcPr>
            <w:tcW w:w="7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11"/>
        </w:trPr>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1"/>
        </w:trPr>
        <w:tc>
          <w:tcPr>
            <w:tcW w:w="7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5,539</w:t>
            </w:r>
          </w:p>
        </w:tc>
      </w:tr>
      <w:tr>
        <w:trPr>
          <w:trHeight w:val="211"/>
        </w:trPr>
        <w:tc>
          <w:tcPr>
            <w:tcW w:w="71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(11,133)</w:t>
            </w:r>
          </w:p>
        </w:tc>
      </w:tr>
      <w:tr>
        <w:trPr>
          <w:trHeight w:val="221"/>
        </w:trPr>
        <w:tc>
          <w:tcPr>
            <w:tcW w:w="7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211"/>
        </w:trPr>
        <w:tc>
          <w:tcPr>
            <w:tcW w:w="712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r>
      <w:tr>
        <w:trPr>
          <w:trHeight w:val="221"/>
        </w:trPr>
        <w:tc>
          <w:tcPr>
            <w:tcW w:w="7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3,205</w:t>
            </w:r>
          </w:p>
        </w:tc>
      </w:tr>
      <w:tr>
        <w:trPr>
          <w:trHeight w:val="211"/>
        </w:trPr>
        <w:tc>
          <w:tcPr>
            <w:tcW w:w="7120" w:type="dxa"/>
            <w:vAlign w:val="bottom"/>
            <w:tcBorders>
              <w:bottom w:val="single" w:sz="8" w:color="CCEEFF"/>
            </w:tcBorders>
            <w:gridSpan w:val="2"/>
          </w:tcPr>
          <w:p>
            <w:pPr>
              <w:ind w:left="56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4,474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w:t>
            </w:r>
          </w:p>
        </w:tc>
      </w:tr>
      <w:tr>
        <w:trPr>
          <w:trHeight w:val="214"/>
        </w:trPr>
        <w:tc>
          <w:tcPr>
            <w:tcW w:w="7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57,723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34,478</w:t>
            </w:r>
          </w:p>
        </w:tc>
      </w:tr>
      <w:tr>
        <w:trPr>
          <w:trHeight w:val="20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6"/>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(136,098)</w:t>
            </w:r>
          </w:p>
        </w:tc>
      </w:tr>
      <w:tr>
        <w:trPr>
          <w:trHeight w:val="211"/>
        </w:trPr>
        <w:tc>
          <w:tcPr>
            <w:tcW w:w="71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Purchase of property, equipment, improvements and certain other intangible assets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w:t>
            </w:r>
          </w:p>
        </w:tc>
      </w:tr>
      <w:tr>
        <w:trPr>
          <w:trHeight w:val="214"/>
        </w:trPr>
        <w:tc>
          <w:tcPr>
            <w:tcW w:w="7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(349,528)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(136,997)</w:t>
            </w:r>
          </w:p>
        </w:tc>
      </w:tr>
      <w:tr>
        <w:trPr>
          <w:trHeight w:val="200"/>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6"/>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119,018</w:t>
            </w: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(55,893)</w:t>
            </w: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Payments for contingent consideration</w:t>
            </w:r>
          </w:p>
        </w:tc>
        <w:tc>
          <w:tcPr>
            <w:tcW w:w="3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(4,698)</w:t>
            </w: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issuances of stock, net of offering expenses</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73,830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stock option plan transactions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5,902</w:t>
            </w: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employee stock purchase plan transactions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211"/>
        </w:trPr>
        <w:tc>
          <w:tcPr>
            <w:tcW w:w="71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Taxes paid for net share settlement of share-based payment awards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w:t>
            </w:r>
          </w:p>
        </w:tc>
      </w:tr>
      <w:tr>
        <w:trPr>
          <w:trHeight w:val="214"/>
        </w:trPr>
        <w:tc>
          <w:tcPr>
            <w:tcW w:w="71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62,242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63,603</w:t>
            </w:r>
          </w:p>
        </w:tc>
      </w:tr>
      <w:tr>
        <w:trPr>
          <w:trHeight w:val="211"/>
        </w:trPr>
        <w:tc>
          <w:tcPr>
            <w:tcW w:w="7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14"/>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98,303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(38,663)</w:t>
            </w:r>
          </w:p>
        </w:tc>
      </w:tr>
      <w:tr>
        <w:trPr>
          <w:trHeight w:val="211"/>
        </w:trPr>
        <w:tc>
          <w:tcPr>
            <w:tcW w:w="7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152,432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54,129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92,792</w:t>
            </w:r>
          </w:p>
        </w:tc>
      </w:tr>
      <w:tr>
        <w:trPr>
          <w:trHeight w:val="239"/>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152,432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54,129</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16"/>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w:t>
            </w: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paid, net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3,686</w:t>
            </w:r>
          </w:p>
        </w:tc>
      </w:tr>
      <w:tr>
        <w:trPr>
          <w:trHeight w:val="211"/>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Supplemental schedule of non-cash investing and financing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Accrual for property, equipment, improvements and certain other intangibles assets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Tenant improvement allowance</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Transfer of inventory to property, equipment and improvements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w:t>
            </w:r>
          </w:p>
        </w:tc>
      </w:tr>
      <w:tr>
        <w:trPr>
          <w:trHeight w:val="211"/>
        </w:trPr>
        <w:tc>
          <w:tcPr>
            <w:tcW w:w="71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Liability related to acquisition of business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(5,100)</w:t>
            </w:r>
          </w:p>
        </w:tc>
      </w:tr>
      <w:tr>
        <w:trPr>
          <w:trHeight w:val="221"/>
        </w:trPr>
        <w:tc>
          <w:tcPr>
            <w:tcW w:w="7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Term debt refinanced as credit facility</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 (CONTINUED)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DIGI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38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For fiscal years ended September 30, 2022, 2021 and 2020</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 thousands)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Accumulated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Additional</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w w:val="99"/>
              </w:rPr>
              <w:t>Other</w:t>
            </w:r>
          </w:p>
        </w:tc>
        <w:tc>
          <w:tcPr>
            <w:tcW w:w="120" w:type="dxa"/>
            <w:vAlign w:val="bottom"/>
          </w:tcPr>
          <w:p>
            <w:pPr>
              <w:spacing w:after="0"/>
              <w:rPr>
                <w:sz w:val="17"/>
                <w:szCs w:val="17"/>
                <w:color w:val="auto"/>
              </w:rPr>
            </w:pPr>
          </w:p>
        </w:tc>
        <w:tc>
          <w:tcPr>
            <w:tcW w:w="106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1720" w:type="dxa"/>
            <w:vAlign w:val="bottom"/>
            <w:gridSpan w:val="5"/>
          </w:tcPr>
          <w:p>
            <w:pPr>
              <w:ind w:left="320"/>
              <w:spacing w:after="0"/>
              <w:rPr>
                <w:sz w:val="20"/>
                <w:szCs w:val="20"/>
                <w:color w:val="auto"/>
              </w:rPr>
            </w:pPr>
            <w:r>
              <w:rPr>
                <w:rFonts w:ascii="Times New Roman" w:cs="Times New Roman" w:eastAsia="Times New Roman" w:hAnsi="Times New Roman"/>
                <w:sz w:val="15"/>
                <w:szCs w:val="15"/>
                <w:color w:val="auto"/>
              </w:rPr>
              <w:t>Common Stock</w:t>
            </w:r>
          </w:p>
        </w:tc>
        <w:tc>
          <w:tcPr>
            <w:tcW w:w="1720" w:type="dxa"/>
            <w:vAlign w:val="bottom"/>
            <w:gridSpan w:val="5"/>
          </w:tcPr>
          <w:p>
            <w:pPr>
              <w:jc w:val="center"/>
              <w:ind w:right="120"/>
              <w:spacing w:after="0"/>
              <w:rPr>
                <w:sz w:val="20"/>
                <w:szCs w:val="20"/>
                <w:color w:val="auto"/>
              </w:rPr>
            </w:pPr>
            <w:r>
              <w:rPr>
                <w:rFonts w:ascii="Times New Roman" w:cs="Times New Roman" w:eastAsia="Times New Roman" w:hAnsi="Times New Roman"/>
                <w:sz w:val="15"/>
                <w:szCs w:val="15"/>
                <w:color w:val="auto"/>
              </w:rPr>
              <w:t>Treasury Stock</w:t>
            </w: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Paid-In</w:t>
            </w:r>
          </w:p>
        </w:tc>
        <w:tc>
          <w:tcPr>
            <w:tcW w:w="12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Retained</w:t>
            </w:r>
          </w:p>
        </w:tc>
        <w:tc>
          <w:tcPr>
            <w:tcW w:w="12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color w:val="auto"/>
              </w:rPr>
              <w:t>Comprehensive</w:t>
            </w:r>
          </w:p>
        </w:tc>
        <w:tc>
          <w:tcPr>
            <w:tcW w:w="120" w:type="dxa"/>
            <w:vAlign w:val="bottom"/>
          </w:tcPr>
          <w:p>
            <w:pPr>
              <w:spacing w:after="0"/>
              <w:rPr>
                <w:sz w:val="17"/>
                <w:szCs w:val="17"/>
                <w:color w:val="auto"/>
              </w:rPr>
            </w:pPr>
          </w:p>
        </w:tc>
        <w:tc>
          <w:tcPr>
            <w:tcW w:w="106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rPr>
              <w:t>Stockholders’</w:t>
            </w:r>
          </w:p>
        </w:tc>
        <w:tc>
          <w:tcPr>
            <w:tcW w:w="0" w:type="dxa"/>
            <w:vAlign w:val="bottom"/>
          </w:tcPr>
          <w:p>
            <w:pPr>
              <w:spacing w:after="0"/>
              <w:rPr>
                <w:sz w:val="1"/>
                <w:szCs w:val="1"/>
                <w:color w:val="auto"/>
              </w:rPr>
            </w:pPr>
          </w:p>
        </w:tc>
      </w:tr>
      <w:tr>
        <w:trPr>
          <w:trHeight w:val="207"/>
        </w:trPr>
        <w:tc>
          <w:tcPr>
            <w:tcW w:w="308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Shares</w:t>
            </w:r>
          </w:p>
        </w:tc>
        <w:tc>
          <w:tcPr>
            <w:tcW w:w="10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Par Value</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Shares</w:t>
            </w:r>
          </w:p>
        </w:tc>
        <w:tc>
          <w:tcPr>
            <w:tcW w:w="16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Value</w:t>
            </w:r>
          </w:p>
        </w:tc>
        <w:tc>
          <w:tcPr>
            <w:tcW w:w="10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Capital</w:t>
            </w:r>
          </w:p>
        </w:tc>
        <w:tc>
          <w:tcPr>
            <w:tcW w:w="12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Earnings</w:t>
            </w:r>
          </w:p>
        </w:tc>
        <w:tc>
          <w:tcPr>
            <w:tcW w:w="12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color w:val="auto"/>
              </w:rPr>
              <w:t>Loss</w:t>
            </w:r>
          </w:p>
        </w:tc>
        <w:tc>
          <w:tcPr>
            <w:tcW w:w="120" w:type="dxa"/>
            <w:vAlign w:val="bottom"/>
          </w:tcPr>
          <w:p>
            <w:pPr>
              <w:spacing w:after="0"/>
              <w:rPr>
                <w:sz w:val="17"/>
                <w:szCs w:val="17"/>
                <w:color w:val="auto"/>
              </w:rPr>
            </w:pPr>
          </w:p>
        </w:tc>
        <w:tc>
          <w:tcPr>
            <w:tcW w:w="1060" w:type="dxa"/>
            <w:vAlign w:val="bottom"/>
          </w:tcPr>
          <w:p>
            <w:pPr>
              <w:jc w:val="center"/>
              <w:ind w:right="64"/>
              <w:spacing w:after="0"/>
              <w:rPr>
                <w:sz w:val="20"/>
                <w:szCs w:val="20"/>
                <w:color w:val="auto"/>
              </w:rPr>
            </w:pPr>
            <w:r>
              <w:rPr>
                <w:rFonts w:ascii="Times New Roman" w:cs="Times New Roman" w:eastAsia="Times New Roman" w:hAnsi="Times New Roman"/>
                <w:sz w:val="15"/>
                <w:szCs w:val="15"/>
                <w:color w:val="auto"/>
                <w:w w:val="99"/>
              </w:rPr>
              <w:t>Equity</w:t>
            </w:r>
          </w:p>
        </w:tc>
        <w:tc>
          <w:tcPr>
            <w:tcW w:w="0" w:type="dxa"/>
            <w:vAlign w:val="bottom"/>
          </w:tcPr>
          <w:p>
            <w:pPr>
              <w:spacing w:after="0"/>
              <w:rPr>
                <w:sz w:val="1"/>
                <w:szCs w:val="1"/>
                <w:color w:val="auto"/>
              </w:rPr>
            </w:pPr>
          </w:p>
        </w:tc>
      </w:tr>
      <w:tr>
        <w:trPr>
          <w:trHeight w:val="200"/>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September 30, 2019</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34,608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346</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6,367</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(54,339)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266,567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161,919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(25,515)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348,978</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8,411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8,411</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1,698</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Employee stock purchase plan issuances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1,065</w:t>
            </w:r>
          </w:p>
        </w:tc>
        <w:tc>
          <w:tcPr>
            <w:tcW w:w="0" w:type="dxa"/>
            <w:vAlign w:val="bottom"/>
          </w:tcPr>
          <w:p>
            <w:pPr>
              <w:spacing w:after="0"/>
              <w:rPr>
                <w:sz w:val="1"/>
                <w:szCs w:val="1"/>
                <w:color w:val="auto"/>
              </w:rPr>
            </w:pPr>
          </w:p>
        </w:tc>
      </w:tr>
      <w:tr>
        <w:trPr>
          <w:trHeight w:val="151"/>
        </w:trPr>
        <w:tc>
          <w:tcPr>
            <w:tcW w:w="30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Taxes paid for net share settlement of share-</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based payment awards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(1,791)</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stock under stock award plans</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5,902</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7,237</w:t>
            </w: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line="169" w:lineRule="exact"/>
              <w:rPr>
                <w:sz w:val="20"/>
                <w:szCs w:val="20"/>
                <w:color w:val="auto"/>
              </w:rPr>
            </w:pPr>
            <w:r>
              <w:rPr>
                <w:rFonts w:ascii="Times New Roman" w:cs="Times New Roman" w:eastAsia="Times New Roman" w:hAnsi="Times New Roman"/>
                <w:sz w:val="15"/>
                <w:szCs w:val="15"/>
                <w:color w:val="auto"/>
              </w:rPr>
              <w:t>Balances, September 30, 2020</w:t>
            </w:r>
          </w:p>
        </w:tc>
        <w:tc>
          <w:tcPr>
            <w:tcW w:w="66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35,513</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355</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6,353</w:t>
            </w: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(55,109)</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279,741</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170,330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(23,817)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
              <w:spacing w:after="0" w:line="169" w:lineRule="exact"/>
              <w:rPr>
                <w:sz w:val="20"/>
                <w:szCs w:val="20"/>
                <w:color w:val="auto"/>
              </w:rPr>
            </w:pPr>
            <w:r>
              <w:rPr>
                <w:rFonts w:ascii="Times New Roman" w:cs="Times New Roman" w:eastAsia="Times New Roman" w:hAnsi="Times New Roman"/>
                <w:sz w:val="15"/>
                <w:szCs w:val="15"/>
                <w:color w:val="auto"/>
              </w:rPr>
              <w:t>371,500</w:t>
            </w: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10,366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10,366</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1,071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1,071</w:t>
            </w:r>
          </w:p>
        </w:tc>
        <w:tc>
          <w:tcPr>
            <w:tcW w:w="0" w:type="dxa"/>
            <w:vAlign w:val="bottom"/>
          </w:tcPr>
          <w:p>
            <w:pPr>
              <w:spacing w:after="0"/>
              <w:rPr>
                <w:sz w:val="1"/>
                <w:szCs w:val="1"/>
                <w:color w:val="auto"/>
              </w:rPr>
            </w:pPr>
          </w:p>
        </w:tc>
      </w:tr>
      <w:tr>
        <w:trPr>
          <w:trHeight w:val="151"/>
        </w:trPr>
        <w:tc>
          <w:tcPr>
            <w:tcW w:w="30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Issuance of common stock, net of offering</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expenses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73,790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73,830</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Employee stock purchase plan issuances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1,214</w:t>
            </w:r>
          </w:p>
        </w:tc>
        <w:tc>
          <w:tcPr>
            <w:tcW w:w="0" w:type="dxa"/>
            <w:vAlign w:val="bottom"/>
          </w:tcPr>
          <w:p>
            <w:pPr>
              <w:spacing w:after="0"/>
              <w:rPr>
                <w:sz w:val="1"/>
                <w:szCs w:val="1"/>
                <w:color w:val="auto"/>
              </w:rPr>
            </w:pPr>
          </w:p>
        </w:tc>
      </w:tr>
      <w:tr>
        <w:trPr>
          <w:trHeight w:val="148"/>
        </w:trPr>
        <w:tc>
          <w:tcPr>
            <w:tcW w:w="308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Taxes paid for net share settlement of share-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based payment awards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(2,120)</w:t>
            </w:r>
          </w:p>
        </w:tc>
        <w:tc>
          <w:tcPr>
            <w:tcW w:w="0" w:type="dxa"/>
            <w:vAlign w:val="bottom"/>
          </w:tcPr>
          <w:p>
            <w:pPr>
              <w:spacing w:after="0"/>
              <w:rPr>
                <w:sz w:val="1"/>
                <w:szCs w:val="1"/>
                <w:color w:val="auto"/>
              </w:rPr>
            </w:pPr>
          </w:p>
        </w:tc>
      </w:tr>
      <w:tr>
        <w:trPr>
          <w:trHeight w:val="207"/>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stock under stock award plans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8,525</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8,135</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September 30, 2021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40,653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370,699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180,692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472,517</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7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080" w:type="dxa"/>
            <w:vAlign w:val="bottom"/>
            <w:tcBorders>
              <w:top w:val="single" w:sz="8" w:color="CCEEFF"/>
            </w:tcBorders>
            <w:vMerge w:val="continue"/>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19,383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19,383</w:t>
            </w:r>
          </w:p>
        </w:tc>
        <w:tc>
          <w:tcPr>
            <w:tcW w:w="0" w:type="dxa"/>
            <w:vAlign w:val="bottom"/>
          </w:tcPr>
          <w:p>
            <w:pPr>
              <w:spacing w:after="0"/>
              <w:rPr>
                <w:sz w:val="1"/>
                <w:szCs w:val="1"/>
                <w:color w:val="auto"/>
              </w:rPr>
            </w:pPr>
          </w:p>
        </w:tc>
      </w:tr>
      <w:tr>
        <w:trPr>
          <w:trHeight w:val="205"/>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comprehensive loss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(3,308)</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Employee stock purchase plan issuances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1,500</w:t>
            </w:r>
          </w:p>
        </w:tc>
        <w:tc>
          <w:tcPr>
            <w:tcW w:w="0" w:type="dxa"/>
            <w:vAlign w:val="bottom"/>
          </w:tcPr>
          <w:p>
            <w:pPr>
              <w:spacing w:after="0"/>
              <w:rPr>
                <w:sz w:val="1"/>
                <w:szCs w:val="1"/>
                <w:color w:val="auto"/>
              </w:rPr>
            </w:pPr>
          </w:p>
        </w:tc>
      </w:tr>
      <w:tr>
        <w:trPr>
          <w:trHeight w:val="151"/>
        </w:trPr>
        <w:tc>
          <w:tcPr>
            <w:tcW w:w="308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5"/>
                <w:szCs w:val="15"/>
                <w:color w:val="auto"/>
              </w:rPr>
              <w:t>Taxes paid for net share settlement of share-</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based payment awards and options</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(6,662)</w:t>
            </w:r>
          </w:p>
        </w:tc>
        <w:tc>
          <w:tcPr>
            <w:tcW w:w="0" w:type="dxa"/>
            <w:vAlign w:val="bottom"/>
          </w:tcPr>
          <w:p>
            <w:pPr>
              <w:spacing w:after="0"/>
              <w:rPr>
                <w:sz w:val="1"/>
                <w:szCs w:val="1"/>
                <w:color w:val="auto"/>
              </w:rPr>
            </w:pPr>
          </w:p>
        </w:tc>
      </w:tr>
      <w:tr>
        <w:trPr>
          <w:trHeight w:val="200"/>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Issuance of stock under stock award plans</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9,492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9,505</w:t>
            </w: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8,578</w:t>
            </w:r>
          </w:p>
        </w:tc>
        <w:tc>
          <w:tcPr>
            <w:tcW w:w="0" w:type="dxa"/>
            <w:vAlign w:val="bottom"/>
          </w:tcPr>
          <w:p>
            <w:pPr>
              <w:spacing w:after="0"/>
              <w:rPr>
                <w:sz w:val="1"/>
                <w:szCs w:val="1"/>
                <w:color w:val="auto"/>
              </w:rPr>
            </w:pPr>
          </w:p>
        </w:tc>
      </w:tr>
      <w:tr>
        <w:trPr>
          <w:trHeight w:val="198"/>
        </w:trPr>
        <w:tc>
          <w:tcPr>
            <w:tcW w:w="30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September 30, 2022</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41,950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420</w:t>
            </w:r>
          </w:p>
        </w:tc>
        <w:tc>
          <w:tcPr>
            <w:tcW w:w="10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6,413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center"/>
              <w:ind w:right="4"/>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(58,172)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385,244</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200,075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(26,054)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501,513</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SUMMARY OF SIGNIFICANT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Description</w:t>
      </w:r>
    </w:p>
    <w:p>
      <w:pPr>
        <w:spacing w:after="0" w:line="200"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We are a leading global provider of business and mission-critical IoT connectivity products, services and solutions. We help our customers create next-generation connected products to deploy, monitor and manage critical communications infrastructures and compliance standards in demanding environments with high levels of security and reliability. We have two reportable operating segments: (i) IoT Products &amp; Services; and (ii) IoT Solutions.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our accounts and the accounts of our wholly-owned subsidiaries. All intercompany accounts and transactions have been eliminated in consolidation.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Estimates</w:t>
      </w:r>
    </w:p>
    <w:p>
      <w:pPr>
        <w:spacing w:after="0" w:line="25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generally accepted accounting principles requires management to make estimates and assumptions that affect the reported amounts in the consolidated financial statements and accompanying notes. Actual results could differ significantly from those estimates.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Cash equivalents consist of money market accounts and other highly liquid investments purchased with an original maturity of three months or less. The carrying amounts approximate fair value due to the short maturities of these investments. We maintain our cash and cash equivalents in bank accounts which may exceed federally insured limits at times. We have not experienced any losses in these accounts.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0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Accounts receivable are stated at the amount we expect to collect. This amount is net of an allowance for credit losses for estimated losses resulting from the inability of our customers to make required payments and a reserve for future credit returns and pricing adjustments. The following factors are considered when determining the collectability of specific customer accounts: customer creditworthiness, past transaction history with the customer, and changes in customer payment terms or practices. In addition, overall historical collection experience, current economic industry trends, and a review of the current status of trade accounts receivable are considered when determining the required allowance for credit losses. Based on our assessment, we provide for estimated uncollectible amounts through a charge to earnings and a credit to our allowance for credit losses. Balances that remain outstanding after we have used reasonable collection efforts are written off through a charge to the allowance for credit losses and a credit to accounts receivable. Estimated reserves for future credit returns and pricing adjustments are established based on an analysis of historical patterns of credit returns and price adjustments compared to received credit returns and distribution sales for the current period. Estimated reserves for future credit returns and price adjustments are charged against revenue in the same period as the corresponding sales are recorded. Estimated sales returns for our distributor stock rotation program are accounted for under the guidance of Accounting Standard Codification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allowance for credit losses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Year ended September 30,</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3,778</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0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2,803</w:t>
            </w:r>
          </w:p>
        </w:tc>
        <w:tc>
          <w:tcPr>
            <w:tcW w:w="0" w:type="dxa"/>
            <w:vAlign w:val="bottom"/>
          </w:tcPr>
          <w:p>
            <w:pPr>
              <w:spacing w:after="0"/>
              <w:rPr>
                <w:sz w:val="1"/>
                <w:szCs w:val="1"/>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Uncollectible accounts charged to allowance, net of recoveries</w:t>
            </w:r>
          </w:p>
        </w:tc>
        <w:tc>
          <w:tcPr>
            <w:tcW w:w="30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(2,124)</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(2,647)</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20" w:type="dxa"/>
            <w:vAlign w:val="bottom"/>
          </w:tcPr>
          <w:p>
            <w:pPr>
              <w:spacing w:after="0"/>
              <w:rPr>
                <w:sz w:val="19"/>
                <w:szCs w:val="19"/>
                <w:color w:val="auto"/>
              </w:rPr>
            </w:pP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3,285</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3,934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20" w:type="dxa"/>
            <w:vAlign w:val="bottom"/>
            <w:vMerge w:val="restart"/>
          </w:tcPr>
          <w:p>
            <w:pPr>
              <w:jc w:val="right"/>
              <w:ind w:right="2250"/>
              <w:spacing w:after="0"/>
              <w:rPr>
                <w:sz w:val="20"/>
                <w:szCs w:val="20"/>
                <w:color w:val="auto"/>
              </w:rPr>
            </w:pPr>
            <w:r>
              <w:rPr>
                <w:rFonts w:ascii="Times New Roman" w:cs="Times New Roman" w:eastAsia="Times New Roman" w:hAnsi="Times New Roman"/>
                <w:sz w:val="18"/>
                <w:szCs w:val="18"/>
                <w:color w:val="auto"/>
              </w:rPr>
              <w:t>43</w:t>
            </w: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50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SUMMARY OF SIGNIFICANT ACCOUNTING POLICIES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8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Inventories are valued at the lower of cost or net realizable value using the first-in, first-out (FIFO) method. Appropriate consideration is given to deterioration, obsolescence and other factors in evaluating net realizable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Equipment and Improvements, Net</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Property, equipment and improvements are carried at cost, net of accumulated depreciation. Depreciation is provided by charges to operations using the straight-line method over the estimated asset useful lives. Furniture and fixtures, purchased software and other equipment are depreciated over a period of three years to ten years. Building improvements and buildings are depreciated over ten years and 39 years, respectively. Leasehold improvements are depreciated over the shorter of the lease term or the estimated useful life of the asset. Long-lived assets to be held and used, such as property, equipment and improvements, are reviewed for impairment whenever events or changes in circumstances indicate that the carrying amount may not be recoverable.</w:t>
      </w:r>
    </w:p>
    <w:p>
      <w:pPr>
        <w:spacing w:after="0" w:line="14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Expenditures for maintenance and repairs are charged to operations as incurred, while major renewals and betterments are capitalized. The assets and related accumulated depreciation accounts are adjusted for asset retirements and disposals with the resulting gain or loss included in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20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Purchased proven technology, license agreements, covenants not to compete and other identifiable intangible assets are recorded at fair value when acquired in a business acquisition, or at cost when not purchased in a business acquisition. All other identifiable intangible assets are amortized on a straight-line basis over their estimated useful lives of three years to 20.5 years. Useful lives for identifiable intangible assets are estimated at the time of acquisition based on the periods of time from which we expect to derive benefits from the identifiable intangible assets. Amortization of purchased and core technology is included in cost of sales in the Consolidated Statements of Operations. Amortization of all other acquired identifiable intangible assets is charged to operating expenses as a component of general and administrative expense.</w:t>
      </w:r>
    </w:p>
    <w:p>
      <w:pPr>
        <w:spacing w:after="0" w:line="14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Identifiable intangible assets are reviewed for impairment whenever events or circumstances indicate that undiscounted expected future cash flows are not sufficient to recover the carrying value amount. Impairment losses, if any, are recorded in the period the impairment is identified. There were no impairments identified in fiscal 2022, 2021 or 2020.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0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cost over the fair value of identifiable assets acquired. Goodwill is quantitatively tested for impairment on an annual basis as of June 30, or more frequently if events or circumstances occur which could indicate impairment.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We have two reportable operating segments, our IoT Products &amp; Services segment and our IoT Solutions segment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to the consolidated financial statements). Effective with the reorganization announcement on October 7, 2020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our IoT Products &amp; Services business is now structured to include four reporting units under the IoT Products &amp; Services segment, each with a reporting manager: Cellular Routers, Console Servers, OEM Solutions and Infrastructure Management. Following our acquisition of Ventus in the first fiscal quarter of 2022, IoT Solutions is comprised of two reporting units; Ventus and SmartSense. We have six reporting units that have been tested individually for impairment.</w:t>
      </w:r>
    </w:p>
    <w:p>
      <w:pPr>
        <w:spacing w:after="0" w:line="14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Due to the reorganization on October 7, 2020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we performed an interim impairment test in addition to our annual test as of June 30, 2021. Our goodwill impairment tests as of June 30,2022, June 30, 2021 and October 7, 2020 indicated no impairment (see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During the fourth quarter of fiscal 2022, we assessed various qualitative factors to determine whether or not an additional goodwill impairment assessment was required as of September 30, 2022, and we concluded that no additional impairment assessment was required.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measure our contingent consideration liabilities recognized in connection with business combinations at fair value on a recurring basis using significant unobservable inputs classified within Level 3 of the fair value hierarchy as defined in ASC 820 "Fair Value Measurement". We used a probability-weighted discounted cash flow approach as a valuation technique to</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SUMMARY OF SIGNIFICANT ACCOUNTING POLICIES (CONTINUED)</w:t>
      </w:r>
    </w:p>
    <w:p>
      <w:pPr>
        <w:spacing w:after="0" w:line="19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determine the fair value of the contingent consideration on the acquisition date. At each subsequent reporting period, the fair value is re-measured with the change in fair value recognized in general and administrative expense in our Consolidated</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Statements of Operations. Amounts, if any, paid to the seller in excess of the amount recorded on the acquisition date will be classified as cash flows used in operating activities. Payments to the seller not exceeding the acquisition-date fair value of the contingent consideration will be classified as cash flows used in financing activities.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w:t>
      </w:r>
    </w:p>
    <w:p>
      <w:pPr>
        <w:spacing w:after="0" w:line="200"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In general, we warrant our hardware products to be free from defects in material and workmanship under normal use and service. The warranty periods generally range from one year to five years. We typically have the option to either repair or replace hardware products we deem defective with regard to material or workmanship. Estimated warranty costs are accrued in the period that the related revenue is recognized based upon an estimated average per unit repair or replacement cost applied to the estimated number of units under warranty. These estimates are based upon historical warranty incidents and are evaluated on an ongoing basis to ensure the adequacy of the warranty accrual.</w:t>
      </w:r>
    </w:p>
    <w:p>
      <w:pPr>
        <w:spacing w:after="0" w:line="14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warrant our software or firmware incorporated into our products generally for a period of one year and offer to provide a bug fix or software patch within a reasonable period. We have not accrued specifically for this warranty and have not had claims specifically related to software or firmware. We are not responsible for, and do not warrant that, custom software versions, created by OEM customers based upon our software source code, will function in a particular way, will conform to any specifications or are fit for any particular purpose. Further, we do not indemnify these customers from any third-party liability as it relates to or arises from any customization or modifications made by the OEM customer.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record treasury stock at cost. Treasury stock may be acquired from employees for tax withholding purposes related to vesting of restricted stock awards as part of our stock-based compensation program and issued pursuant to the Employee Stock Purchase Plan.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recognize hardware product revenue upon transfer of control of goods or services to customers in an amount that reflects the consideration we expect to receive in exchange for those goods or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 the amount of revenue to be recognized through application of the following steps:</w:t>
      </w:r>
    </w:p>
    <w:p>
      <w:pPr>
        <w:spacing w:after="0" w:line="117"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the performance obligations.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Hardware Product Revenue and SmartSense by Digi Equipment Revenue and Associated Installation Fees</w:t>
      </w:r>
    </w:p>
    <w:p>
      <w:pPr>
        <w:spacing w:after="0" w:line="20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Our hardware product revenue is derived primarily from the sale of wired and wireless hardware products to our distributors and direct/original equipment manufacturer (“Direct/OEM”) customers. Product revenue generally is recognized upon shipment of the product to a customer. Sales to authorized domestic distributors and Direct/OEM customers typically are made with certain rights of return and price adjustment provisions. Estimated reserves for future credit returns and pricing adjustments are established based on an analysis of historical patterns of credit returns and price adjustments compared to received credit returns and distribution sales for the current period. Estimated reserves for future credit returns and price adjustments are charged against revenue in the same period as the corresponding sales are recorded. Material differences between the historical trends used to determine estimated reserves and actual credit returns and pricing adjustments could result in a material change to our consolidated results of operations or financial position. Estimated sales returns for our distributor stock rotation program are accounted for under the guidance of ASC 845 </w:t>
      </w:r>
      <w:r>
        <w:rPr>
          <w:rFonts w:ascii="Times New Roman" w:cs="Times New Roman" w:eastAsia="Times New Roman" w:hAnsi="Times New Roman"/>
          <w:sz w:val="18"/>
          <w:szCs w:val="18"/>
          <w:i w:val="1"/>
          <w:iCs w:val="1"/>
          <w:color w:val="auto"/>
        </w:rPr>
        <w:t>Nonmonetary Transactions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SUMMARY OF SIGNIFICANT ACCOUNTING POLICIES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revenue from SmartSense by Digi and Ventus within our IoT Solutions segment is recognized upon shipment of the equipment to a customer.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Installation service charges from these sales are recorded when the product is installed.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and Support Services Revenue</w:t>
      </w:r>
    </w:p>
    <w:p>
      <w:pPr>
        <w:spacing w:after="0" w:line="187"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Our SmartSense by Digi and Ventus subscription revenue is recorded on a monthly basis. These subscriptions are generally in a range from one year to five years, and may contain an evergreen renewal provision. Generally, our subscription renewal charges per month are the same as the original contract term.</w:t>
      </w:r>
    </w:p>
    <w:p>
      <w:pPr>
        <w:spacing w:after="0" w:line="11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derive service revenue from our Digi Remote Manager, a platform-as-a-service (“PaaS”) offering, whereby customers pay for services consumed based on the number of devices being managed or monitored. This revenue is recognized over the life of the service term and is included in our IoT Products &amp; Services segment.</w:t>
      </w:r>
    </w:p>
    <w:p>
      <w:pPr>
        <w:spacing w:after="0" w:line="13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Digi Support Services revenues are recognized over the life of the support contract and included in our IoT Products &amp; Services segment. Some of Digi Support Services revenue is for training and this revenue is recognized as the services are performed.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 Revenue</w:t>
      </w:r>
    </w:p>
    <w:p>
      <w:pPr>
        <w:spacing w:after="0" w:line="20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Professional services revenue is derived from our Digi Wireless Design Services contracts on either on a time-and-materials or a fixed-fee basis. These revenues, which are included in our IoT Products &amp; Services segment are recognized as the services are performed for time-and-materials contracts or as invoiced for fixed-fee contracts..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8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From time to time we have contracts from customers with multiple performance obligations. Our hardware products may be combined with our Digi Remote Manager PaaS offering as well as other support services in an individual contract. Our SmartSense by Digi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typically are derived from contracts with multiple performance obligations. These obligations may include: delivery of monitoring equipment that the customer purchases out-right, monitoring services, providing condition alerts of assets being monitored, and recertification of sensor equipment. When we retain ownership of the equipment, we charge an implementation fee to the customer so they can begin using the equipment. In these instances, all revenue derived from the above obligations is recognized over the subscription term of the contract. If the customer purchases the equipment out-right, that portion of the revenue is recognized at the stand-alone selling price at the time the equipment is shipped and all other revenue is recognized over the subscription term of the contract. We have made an accounting policy election to exclude from the measurement of our revenues any sales or similar taxes we collect from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when incurred. Research and development costs include compensation, allocation of corporate costs, depreciation, utilities, professional services and prototypes. Software and firmware development costs are expensed as incurred until the point that both the technological feasibility and the proven marketability of the product are established. To date, the time period between the establishment of technological feasibility and completion of software development has been short and no significant development costs have been incurred during that period. Accordingly, we have not capitalized any software development costs to date.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Deferred income taxes are recognized for the tax consequences in future years of differences between the tax basis of assets and liabilities and their financial reporting amounts at each year end based on enacted tax laws and statutory tax rates applicable to the periods in which the differences are expected to affect taxable income. Income tax expense is equal to the tax payable for the period and the change during the period in deferred tax assets and liabilities as well as changes in income tax reserves. We maintain valuation allowances unless it is more likely than not that all or a portion of the deferred tax assets will be realized. Changes in valuation allowances from period to period are included in our tax provision in the period of change.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SUMMARY OF SIGNIFICANT ACCOUNTING POLICIES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represents the cost of employee services received in exchange for an award of equity instruments based on the grant date fair value of the award. This cost must be recognized over the period during which an employee is required to provide the service (usually the vesting period).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Financial position and results of operations of our international subsidiaries are measured using local currencies as the functional currency. Assets and liabilities of these operations are translated at the exchange rates in effect at the end of each reporting period. For our international subsidiaries, our statements of operations accounts are translated at the weighted average rates of exchange prevailing during each reporting period. Translation adjustments arising from the use of differing currency exchange rates from period to period are included in accumulated other comprehensive loss in stockholders’ equity. Gains and losses on foreign currency exchange transactions, as well as translation gains or losses on transactions denominated in currencies other than an entity’s functional currency, are reflected in the statement of operations. During fiscal 2022, 2021 and 2020 there were net transaction gains (losses) of $0.1 million, $(0.1) million and $(0.6) million, respectively that were recorded in other income, net. We manage our net asset or net liability position for U.S. dollar accounts in our foreign locations to reduce our foreign currency risk. We have not implemented a formal hedging strategy.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18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comprehensive income is comprised of net income, foreign currency translation adjustments and unrealized gains and losses on available-for-sale marketable securities. These items are charged or credited to the accumulated other comprehensive loss account in stockholders’ equity.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Common Share</w:t>
      </w:r>
    </w:p>
    <w:p>
      <w:pPr>
        <w:spacing w:after="0" w:line="18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Basic net income per common share is calculated based on the weighted average number of common shares outstanding during the period. Diluted net income per common share is computed by dividing net income by the weighted average number of common and potentially dilutive common shares outstanding during the period. Potentially dilutive common shares of our stock result from common stock options and restricted stock units. We use the treasury stock method to calculate the weighted-average shares used in the diluted earnings per share computation. Under this method the proceeds from exercise of an option, any amount of compensation cost for future service that we have not yet recognized, and the amount of estimated tax benefits that would be recorded in paid-in capital when the option is exercised are assumed to have been used to repurchase shares in the current period.</w:t>
      </w:r>
    </w:p>
    <w:p>
      <w:pPr>
        <w:spacing w:after="0" w:line="147" w:lineRule="exact"/>
        <w:rPr>
          <w:sz w:val="20"/>
          <w:szCs w:val="20"/>
          <w:color w:val="auto"/>
        </w:rPr>
      </w:pPr>
    </w:p>
    <w:p>
      <w:pPr>
        <w:ind w:right="440"/>
        <w:spacing w:after="0" w:line="276" w:lineRule="auto"/>
        <w:rPr>
          <w:sz w:val="20"/>
          <w:szCs w:val="20"/>
          <w:color w:val="auto"/>
        </w:rPr>
      </w:pPr>
      <w:r>
        <w:rPr>
          <w:rFonts w:ascii="Times New Roman" w:cs="Times New Roman" w:eastAsia="Times New Roman" w:hAnsi="Times New Roman"/>
          <w:sz w:val="18"/>
          <w:szCs w:val="18"/>
          <w:color w:val="auto"/>
        </w:rPr>
        <w:t>The following table is a reconciliation of the numerators and denominators in the net income per common share calculations (in thousands, except per common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color w:val="auto"/>
              </w:rPr>
              <w:t>Year ended September 30,</w:t>
            </w:r>
          </w:p>
        </w:tc>
        <w:tc>
          <w:tcPr>
            <w:tcW w:w="960" w:type="dxa"/>
            <w:vAlign w:val="bottom"/>
            <w:tcBorders>
              <w:bottom w:val="single" w:sz="8" w:color="auto"/>
            </w:tcBorders>
          </w:tcPr>
          <w:p>
            <w:pPr>
              <w:spacing w:after="0"/>
              <w:rPr>
                <w:sz w:val="18"/>
                <w:szCs w:val="18"/>
                <w:color w:val="auto"/>
              </w:rPr>
            </w:pPr>
          </w:p>
        </w:tc>
      </w:tr>
      <w:tr>
        <w:trPr>
          <w:trHeight w:val="210"/>
        </w:trPr>
        <w:tc>
          <w:tcPr>
            <w:tcW w:w="7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2020</w:t>
            </w:r>
          </w:p>
        </w:tc>
      </w:tr>
      <w:tr>
        <w:trPr>
          <w:trHeight w:val="212"/>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8,411</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3"/>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Denominator basic net income per common share — weighted average shares outstanding</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28,849</w:t>
            </w:r>
          </w:p>
        </w:tc>
      </w:tr>
      <w:tr>
        <w:trPr>
          <w:trHeight w:val="219"/>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73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Stock options and restricted stock units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w:t>
            </w:r>
          </w:p>
        </w:tc>
      </w:tr>
      <w:tr>
        <w:trPr>
          <w:trHeight w:val="212"/>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 diluted net income per common share — adjusted weighted average shares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29,546</w:t>
            </w:r>
          </w:p>
        </w:tc>
      </w:tr>
      <w:tr>
        <w:trPr>
          <w:trHeight w:val="27"/>
        </w:trPr>
        <w:tc>
          <w:tcPr>
            <w:tcW w:w="7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5"/>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per common share, basic</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per common share, diluted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0.28</w:t>
            </w: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Because their effect would be anti-dilutive at period end, certain potentially dilutive shares related to stock options to purchase common shares were excluded in the above computation of diluted earnings per share because the options’ exercise prices were greater than the average market price of our common shares. For the years ended September 30, 2022, 2021 and 2020, such excluded stock options were 647,181, 1,122,121 and 2,068,004, respectively.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SUMMARY OF SIGNIFICANT ACCOUNTING POLICIES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2021, FASB issued ASU 2021-08, Business Combinations (Topic 805): Accounting for Contract Assets and Contract Liabilities from Contracts with Customers. This update requires entities to apply Topic 606 to recognize and measure contract assets and contract liabilities in a business combination. We adopted this standard in the first quarter of fiscal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Impacts of COVID-19 on our Business</w:t>
      </w:r>
    </w:p>
    <w:p>
      <w:pPr>
        <w:spacing w:after="0" w:line="20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impact of the coronavirus ("COVID-19") pandemic continues to unfold. While we have seen conditions improve towards pre-pandemic levels, the extent of the pandemic's effect on our operational and financial performance will depend in large part on future developments, which cannot be reasonably estimated at this time. Future developments include changes to the duration, scope and severity of the pandemic, the actions taken to contain or mitigate its impact both within and outside the jurisdictions where we operate and the impact on governmental programs. Due to the inherent uncertainty of the situation, we are unable to predict the likely impact of the COVID-19 pandemic on our future operations, but continually monitor the risk it presents to our business. For a more detailed discussion see </w:t>
      </w:r>
      <w:r>
        <w:rPr>
          <w:rFonts w:ascii="Times New Roman" w:cs="Times New Roman" w:eastAsia="Times New Roman" w:hAnsi="Times New Roman"/>
          <w:sz w:val="18"/>
          <w:szCs w:val="18"/>
          <w:u w:val="single" w:color="auto"/>
          <w:color w:val="0000FF"/>
        </w:rPr>
        <w:t>Part I, Item 1</w:t>
      </w:r>
      <w:r>
        <w:rPr>
          <w:rFonts w:ascii="Times New Roman" w:cs="Times New Roman" w:eastAsia="Times New Roman" w:hAnsi="Times New Roman"/>
          <w:sz w:val="18"/>
          <w:szCs w:val="18"/>
          <w:color w:val="auto"/>
        </w:rPr>
        <w:t xml:space="preserve"> and "Management's Discussion and Analysis of Financial Condition and Results of Operations" in </w:t>
      </w:r>
      <w:r>
        <w:rPr>
          <w:rFonts w:ascii="Times New Roman" w:cs="Times New Roman" w:eastAsia="Times New Roman" w:hAnsi="Times New Roman"/>
          <w:sz w:val="18"/>
          <w:szCs w:val="18"/>
          <w:u w:val="single" w:color="auto"/>
          <w:color w:val="0000FF"/>
        </w:rPr>
        <w:t>Part II, Item 7</w:t>
      </w:r>
      <w:r>
        <w:rPr>
          <w:rFonts w:ascii="Times New Roman" w:cs="Times New Roman" w:eastAsia="Times New Roman" w:hAnsi="Times New Roman"/>
          <w:sz w:val="18"/>
          <w:szCs w:val="18"/>
          <w:color w:val="auto"/>
        </w:rPr>
        <w:t xml:space="preserve"> of this Form 10-K.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ACQUISITIONS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2022 Acquisition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Ventus</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November 1, 2021, we acquired Ventus for approximately $350 million in cash. The acquisition was funded through a combination of cash on hand and debt financing under a $350 million credit facility committed by BMO Harris Bank N.A.</w:t>
      </w:r>
    </w:p>
    <w:p>
      <w:pPr>
        <w:spacing w:after="0" w:line="108"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For tax purposes, this acquisition was treated as an asset acquisition. We believe this is a complementary acquisition for us as it significantly enhances our IoT Solutions segment by enhancing Digi's service portfolio and immediately extends the company's market reach with a Managed Network-as-a-Service MNaaS solutions offering.</w:t>
      </w:r>
    </w:p>
    <w:p>
      <w:pPr>
        <w:spacing w:after="0" w:line="15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Costs directly related to the acquisition of $4.4 million incurred in fiscal 2022 have been charged to operations and are included in general and administrative expense in our consolidated statements of operations. These acquisition costs include legal, accounting, valuation and investment banking fees.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values of Ventus assets acquired and liabilities assumed as of the acquisition date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net tangible assets acquired</w:t>
            </w: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20,365</w:t>
            </w:r>
          </w:p>
        </w:tc>
      </w:tr>
      <w:tr>
        <w:trPr>
          <w:trHeight w:val="230"/>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9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179,000</w:t>
            </w:r>
          </w:p>
        </w:tc>
      </w:tr>
      <w:tr>
        <w:trPr>
          <w:trHeight w:val="229"/>
        </w:trPr>
        <w:tc>
          <w:tcPr>
            <w:tcW w:w="9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9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9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118,635</w:t>
            </w:r>
          </w:p>
        </w:tc>
      </w:tr>
      <w:tr>
        <w:trPr>
          <w:trHeight w:val="248"/>
        </w:trPr>
        <w:tc>
          <w:tcPr>
            <w:tcW w:w="9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consolidated balance sheet as of September 30, 2022 reflects the final allocation of the purchase price to the assets acquired and liabilities assumed based on their estimated fair values at the date of acquisition. The fair value of customer relationships was calculated using the excess earnings method, while purchased and core technology and patents were valued using the relief from royalty method. These methodologies utilize future estimates including revenues attributable to customer relationships, tax rates, discount rates, royalty rates and obsolescence rates. The final purchase price allocation includes an adjustment made in the fourth fiscal quarter of 2022 to reflect an update from our preliminary purchase price allocation to the valuation of the net</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ACQUISITIONS (CONTINUED)</w:t>
      </w:r>
    </w:p>
    <w:p>
      <w:pPr>
        <w:spacing w:after="0" w:line="1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tangible assets acquired and goodwill resulting from the acquisition. Included in the fair value of net tangible assets acquired was $0.9 million of right-of-use asset included in other non-current assets and $0.9 million of lease liability included in other current liabilities and other non-current liabilities associated with Ventus’ operating leases.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weighted average useful life for all the identifiable intangibles listed above is estimated to be 19.2 years. For purposes of determining fair value, the existing customer relationships identified above are assumed to have a useful life of 20.5 years, purchased and core technology is assumed to have useful life of 11 years and trademarks are assumed a useful life of 13 years. Useful lives for identifiable intangible assets are estimated at the time of acquisition based on the periods of time from which we expect to derive benefits from the identifiable intangible assets. The identifiable intangible assets are amortized using the straight-line method which reflects the pattern in which the assets are expected to be consumed.</w:t>
      </w:r>
    </w:p>
    <w:p>
      <w:pPr>
        <w:spacing w:after="0" w:line="143"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The fiscal 2022 consolidated results include $54.3 million in revenue contributed by the acquired Ventus business. It is impracticable to quantify the amount of Ventus contribution to our consolidated net income due to the business structure management uses for reporting and allocating expenses to segments.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pro forma information is presented as if the acquisition had occurred on October 1, 2020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color w:val="auto"/>
              </w:rPr>
              <w:t>Year ended September 30,</w:t>
            </w:r>
          </w:p>
        </w:tc>
      </w:tr>
      <w:tr>
        <w:trPr>
          <w:trHeight w:val="223"/>
        </w:trPr>
        <w:tc>
          <w:tcPr>
            <w:tcW w:w="78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393,290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360,820</w:t>
            </w: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 forma net income has been adjusted to include interest expense related to debt incurred as a result of the acquisition, amortization on the fair value of the intangibles acquired and remove any costs incurred with the sale transaction. Net income for the year ended September 30, 2021 was adjusted to include acquisition-related costs of $3.1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2021 Acquisitions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Haxiot</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March 26, 2021, we acquired Haxiot, a Dallas-based provider of low power wide area ("LPWA") wireless technology. The results of operations are now included in our results within our IoT Products &amp; Services segment. We believe this is a complementary acquisition for us as it significantly enhances our IoT Products &amp; Services segment by enhancing Digi's embedded systems portfolio and immediately extends the company's market reach with a complete LoRaWAN-based solutions offering.</w:t>
      </w:r>
    </w:p>
    <w:p>
      <w:pPr>
        <w:spacing w:after="0" w:line="12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The terms of the acquisition included an upfront cash payment as well as contingent consideration comprised of future earn-out payments. We funded the closing of the acquisition with $7.1 million of cash on hand. The future earn-out payments are based on Haxiot revenue performance and contractually are not to exceed $3.0 million and $5.0 million for the annual periods ending December 31, 2021 and December 31, 2022. In the third quarter of fiscal 2021, the purchase price allocation was updated, including related determination of fair value and income tax implications. As a result, we adjusted goodwill to $8.6 million and adjusted contingent consideration to $5.9 million. In the fourth fiscal quarter of 2022, it was determined that the revenue thresholds would not be met and the remaining balance was adjusted down by $5.9 million, resulting in a fair value of $0.0 million for contingent consideration relating to the acquisition of Haxiot at September 30, 2022 .</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tax purposes, this acquisition is treated as a stock acquisition. The goodwill therefore is not deductible.</w:t>
      </w:r>
    </w:p>
    <w:p>
      <w:pPr>
        <w:spacing w:after="0" w:line="171" w:lineRule="exact"/>
        <w:rPr>
          <w:sz w:val="20"/>
          <w:szCs w:val="20"/>
          <w:color w:val="auto"/>
        </w:rPr>
      </w:pPr>
    </w:p>
    <w:p>
      <w:pPr>
        <w:ind w:right="360"/>
        <w:spacing w:after="0" w:line="296" w:lineRule="auto"/>
        <w:rPr>
          <w:sz w:val="20"/>
          <w:szCs w:val="20"/>
          <w:color w:val="auto"/>
        </w:rPr>
      </w:pPr>
      <w:r>
        <w:rPr>
          <w:rFonts w:ascii="Times New Roman" w:cs="Times New Roman" w:eastAsia="Times New Roman" w:hAnsi="Times New Roman"/>
          <w:sz w:val="17"/>
          <w:szCs w:val="17"/>
          <w:color w:val="auto"/>
        </w:rPr>
        <w:t>Costs directly related to the acquisition of $0.3 million have been charged to operations in 2021. These costs are included in general and administrative expense in our consolidated statements of operations. These acquisition costs include legal, accounting, valuation and investment banking fees.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ACQUISITIONS (CONTINUED)</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values of Haxiot assets acquired, net of $50 thousand of cash acquired, and liabilities assumed as of the acquisition date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w:t>
            </w:r>
          </w:p>
        </w:tc>
      </w:tr>
      <w:tr>
        <w:trPr>
          <w:trHeight w:val="229"/>
        </w:trPr>
        <w:tc>
          <w:tcPr>
            <w:tcW w:w="9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r>
      <w:tr>
        <w:trPr>
          <w:trHeight w:val="248"/>
        </w:trPr>
        <w:tc>
          <w:tcPr>
            <w:tcW w:w="9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12,996</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net tangible assets acquired</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9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29"/>
        </w:trPr>
        <w:tc>
          <w:tcPr>
            <w:tcW w:w="9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9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9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liability on identifiable intangible assets</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r>
      <w:tr>
        <w:trPr>
          <w:trHeight w:val="229"/>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8,605</w:t>
            </w:r>
          </w:p>
        </w:tc>
      </w:tr>
      <w:tr>
        <w:trPr>
          <w:trHeight w:val="223"/>
        </w:trPr>
        <w:tc>
          <w:tcPr>
            <w:tcW w:w="9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12,996</w:t>
            </w:r>
          </w:p>
        </w:tc>
      </w:tr>
      <w:tr>
        <w:trPr>
          <w:trHeight w:val="20"/>
        </w:trPr>
        <w:tc>
          <w:tcPr>
            <w:tcW w:w="9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Ctek, Inc.</w:t>
      </w:r>
    </w:p>
    <w:p>
      <w:pPr>
        <w:spacing w:after="0" w:line="18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July 6, 2021, we acquired Ctek, Inc. ("Ctek"), a San Pedro, California-based provider that specializes in solutions for remote monitoring and industrial controls. The results of operations of Ctek are included in our fourth quarter fiscal 2021 results within our IoT Products &amp; Services segment. Through the acquisition of Ctek, Digi is uniquely positioned to provide customers with both battery and hardwired options for the control and monitoring of critical infrastructure, from complex off-shore oil rig locations to localized deployments such as municipal park lighting. In addition, Ctek’s offering and existing client portfolio is set to further Digi’s reach in a rapidly expanding market.</w:t>
      </w:r>
    </w:p>
    <w:p>
      <w:pPr>
        <w:spacing w:after="0" w:line="2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terms of the acquisition included an upfront cash payment as well as contingent consideration comprised of future earn-out payments. We funded the closing of the acquisition with $12.0 million of cash on hand. The future earn-out payments are based on revenue performance outlined in the terms of the purchase agreement for the annual periods ending December 31, 2021, December 31, 2022 and December 31, 2023. The cumulative amount of these earn-outs for the annual periods will not exceed $0.5 million, $1.0 million and $1.5 million, respectively. In the fiscal fourth quarter of 2022, it was determined that the revenue thresholds would not be met and the remaining balance was adjusted down by $0.3 million, resulting in a fair value of $0.0 million for contingent consideration relating to the acquisition of Ctek at September 30,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tax purposes, this acquisition is treated as a stock acquisition. The goodwill therefore is not deductible.</w:t>
      </w:r>
    </w:p>
    <w:p>
      <w:pPr>
        <w:spacing w:after="0" w:line="185" w:lineRule="exact"/>
        <w:rPr>
          <w:sz w:val="20"/>
          <w:szCs w:val="20"/>
          <w:color w:val="auto"/>
        </w:rPr>
      </w:pPr>
    </w:p>
    <w:p>
      <w:pPr>
        <w:ind w:right="340"/>
        <w:spacing w:after="0" w:line="279" w:lineRule="auto"/>
        <w:rPr>
          <w:sz w:val="20"/>
          <w:szCs w:val="20"/>
          <w:color w:val="auto"/>
        </w:rPr>
      </w:pPr>
      <w:r>
        <w:rPr>
          <w:rFonts w:ascii="Times New Roman" w:cs="Times New Roman" w:eastAsia="Times New Roman" w:hAnsi="Times New Roman"/>
          <w:sz w:val="17"/>
          <w:szCs w:val="17"/>
          <w:color w:val="auto"/>
        </w:rPr>
        <w:t>Costs directly related to the acquisition of $0.3 million have been charged to operations in 2021. These costs are included in general and administrative expense in our consolidated statements of operations. These acquisition costs include legal, accounting, valuation and investment banking fees.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ACQUISITIONS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values of Ctek assets acquired and liabilities assumed as of the acquisition date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12,012</w:t>
            </w: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adjustment</w:t>
            </w:r>
          </w:p>
        </w:tc>
        <w:tc>
          <w:tcPr>
            <w:tcW w:w="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3"/>
        </w:trPr>
        <w:tc>
          <w:tcPr>
            <w:tcW w:w="9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12,734</w:t>
            </w:r>
          </w:p>
        </w:tc>
      </w:tr>
      <w:tr>
        <w:trPr>
          <w:trHeight w:val="20"/>
        </w:trPr>
        <w:tc>
          <w:tcPr>
            <w:tcW w:w="93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93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9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net tangible assets acquired</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9"/>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9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r>
      <w:tr>
        <w:trPr>
          <w:trHeight w:val="229"/>
        </w:trPr>
        <w:tc>
          <w:tcPr>
            <w:tcW w:w="9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30"/>
        </w:trPr>
        <w:tc>
          <w:tcPr>
            <w:tcW w:w="9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7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9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Backlog</w:t>
            </w:r>
          </w:p>
        </w:tc>
        <w:tc>
          <w:tcPr>
            <w:tcW w:w="7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9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4,867</w:t>
            </w:r>
          </w:p>
        </w:tc>
      </w:tr>
      <w:tr>
        <w:trPr>
          <w:trHeight w:val="248"/>
        </w:trPr>
        <w:tc>
          <w:tcPr>
            <w:tcW w:w="9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5480"/>
        <w:spacing w:after="0" w:line="461" w:lineRule="auto"/>
        <w:rPr>
          <w:sz w:val="20"/>
          <w:szCs w:val="20"/>
          <w:color w:val="auto"/>
        </w:rPr>
      </w:pPr>
      <w:r>
        <w:rPr>
          <w:rFonts w:ascii="Times New Roman" w:cs="Times New Roman" w:eastAsia="Times New Roman" w:hAnsi="Times New Roman"/>
          <w:sz w:val="18"/>
          <w:szCs w:val="18"/>
          <w:color w:val="auto"/>
        </w:rPr>
        <w:t xml:space="preserve">3. GOODWILL AND OTHER IDENTIFIABLE INTANGIBLE ASSETS, NET </w:t>
      </w:r>
      <w:r>
        <w:rPr>
          <w:rFonts w:ascii="Times New Roman" w:cs="Times New Roman" w:eastAsia="Times New Roman" w:hAnsi="Times New Roman"/>
          <w:sz w:val="18"/>
          <w:szCs w:val="18"/>
          <w:i w:val="1"/>
          <w:iCs w:val="1"/>
          <w:color w:val="auto"/>
        </w:rPr>
        <w:t>Identifiable Intangible Assets, Net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Amortizable identifiable intangible assets, net as of September 30, 2022 and 2021 were comprised of the following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6"/>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6"/>
          </w:tcPr>
          <w:p>
            <w:pPr>
              <w:jc w:val="center"/>
              <w:ind w:right="150"/>
              <w:spacing w:after="0"/>
              <w:rPr>
                <w:sz w:val="20"/>
                <w:szCs w:val="20"/>
                <w:color w:val="auto"/>
              </w:rPr>
            </w:pPr>
            <w:r>
              <w:rPr>
                <w:rFonts w:ascii="Times New Roman" w:cs="Times New Roman" w:eastAsia="Times New Roman" w:hAnsi="Times New Roman"/>
                <w:sz w:val="18"/>
                <w:szCs w:val="18"/>
                <w:color w:val="auto"/>
                <w:w w:val="99"/>
              </w:rPr>
              <w:t>September 30, 2021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50"/>
              <w:spacing w:after="0" w:line="177" w:lineRule="exact"/>
              <w:rPr>
                <w:sz w:val="20"/>
                <w:szCs w:val="20"/>
                <w:color w:val="auto"/>
              </w:rPr>
            </w:pPr>
            <w:r>
              <w:rPr>
                <w:rFonts w:ascii="Times New Roman" w:cs="Times New Roman" w:eastAsia="Times New Roman" w:hAnsi="Times New Roman"/>
                <w:sz w:val="18"/>
                <w:szCs w:val="18"/>
                <w:color w:val="auto"/>
                <w:w w:val="99"/>
              </w:rPr>
              <w:t>Gross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Accum.</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50"/>
              <w:spacing w:after="0" w:line="177" w:lineRule="exact"/>
              <w:rPr>
                <w:sz w:val="20"/>
                <w:szCs w:val="20"/>
                <w:color w:val="auto"/>
              </w:rPr>
            </w:pPr>
            <w:r>
              <w:rPr>
                <w:rFonts w:ascii="Times New Roman" w:cs="Times New Roman" w:eastAsia="Times New Roman" w:hAnsi="Times New Roman"/>
                <w:sz w:val="18"/>
                <w:szCs w:val="18"/>
                <w:color w:val="auto"/>
                <w:w w:val="99"/>
              </w:rPr>
              <w:t>Gross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Accum.</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9"/>
              </w:rPr>
              <w:t>carrying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tcPr>
          <w:p>
            <w:pPr>
              <w:spacing w:after="0"/>
              <w:rPr>
                <w:sz w:val="15"/>
                <w:szCs w:val="15"/>
                <w:color w:val="auto"/>
              </w:rPr>
            </w:pPr>
          </w:p>
        </w:tc>
        <w:tc>
          <w:tcPr>
            <w:tcW w:w="92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w w:val="99"/>
              </w:rPr>
              <w:t>carrying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Net</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amount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amort.</w:t>
            </w:r>
          </w:p>
        </w:tc>
        <w:tc>
          <w:tcPr>
            <w:tcW w:w="28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amount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amort.</w:t>
            </w:r>
          </w:p>
        </w:tc>
        <w:tc>
          <w:tcPr>
            <w:tcW w:w="2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and core technology</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85,016</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69,162</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(50,701)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18,461</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agreements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130,278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Order backlog</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435,651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224,643</w:t>
            </w:r>
          </w:p>
        </w:tc>
        <w:tc>
          <w:tcPr>
            <w:tcW w:w="360" w:type="dxa"/>
            <w:vAlign w:val="bottom"/>
            <w:tcBorders>
              <w:top w:val="single" w:sz="8" w:color="auto"/>
              <w:bottom w:val="single" w:sz="8" w:color="auto"/>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(106,614)</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118,029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Amortization expense is included in our consolidated statements of operations in cost of sales and general and administrative expense. Amortization expense in cost of sales includes amortization for purchased and core technology and certain patents and trademarks.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expense for fiscal years 2022, 2021 and 2020 was as follows (in thousands):</w:t>
            </w:r>
          </w:p>
        </w:tc>
        <w:tc>
          <w:tcPr>
            <w:tcW w:w="2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8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2180" w:type="dxa"/>
            <w:vAlign w:val="bottom"/>
          </w:tcPr>
          <w:p>
            <w:pPr>
              <w:spacing w:after="0"/>
              <w:rPr>
                <w:sz w:val="24"/>
                <w:szCs w:val="24"/>
                <w:color w:val="auto"/>
              </w:rPr>
            </w:pPr>
          </w:p>
        </w:tc>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89"/>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42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7420" w:type="dxa"/>
            <w:vAlign w:val="bottom"/>
          </w:tcPr>
          <w:p>
            <w:pPr>
              <w:spacing w:after="0"/>
              <w:rPr>
                <w:sz w:val="19"/>
                <w:szCs w:val="19"/>
                <w:color w:val="auto"/>
              </w:rPr>
            </w:pPr>
          </w:p>
        </w:tc>
        <w:tc>
          <w:tcPr>
            <w:tcW w:w="21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7420" w:type="dxa"/>
            <w:vAlign w:val="bottom"/>
            <w:shd w:val="clear" w:color="auto" w:fill="CCEEFF"/>
          </w:tcPr>
          <w:p>
            <w:pPr>
              <w:spacing w:after="0"/>
              <w:rPr>
                <w:sz w:val="19"/>
                <w:szCs w:val="19"/>
                <w:color w:val="auto"/>
              </w:rPr>
            </w:pPr>
          </w:p>
        </w:tc>
        <w:tc>
          <w:tcPr>
            <w:tcW w:w="21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160" w:type="dxa"/>
            <w:vAlign w:val="bottom"/>
          </w:tcPr>
          <w:p>
            <w:pPr>
              <w:ind w:left="2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688"/>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GOODWILL AND OTHER IDENTIFIABLE INTANGIBLE ASSETS, NET (CONTINUED)</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05"/>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amortization expense for the next five fiscal years is as follows (in thousands):</w:t>
            </w: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1260" w:type="dxa"/>
            <w:vAlign w:val="bottom"/>
          </w:tcPr>
          <w:p>
            <w:pPr>
              <w:spacing w:after="0"/>
              <w:rPr>
                <w:sz w:val="24"/>
                <w:szCs w:val="24"/>
                <w:color w:val="auto"/>
              </w:rPr>
            </w:pP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Total</w:t>
            </w:r>
          </w:p>
        </w:tc>
      </w:tr>
      <w:tr>
        <w:trPr>
          <w:trHeight w:val="21"/>
        </w:trPr>
        <w:tc>
          <w:tcPr>
            <w:tcW w:w="2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9"/>
        </w:trPr>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25,692</w:t>
            </w:r>
          </w:p>
        </w:tc>
      </w:tr>
      <w:tr>
        <w:trPr>
          <w:trHeight w:val="229"/>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16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24,977</w:t>
            </w:r>
          </w:p>
        </w:tc>
      </w:tr>
      <w:tr>
        <w:trPr>
          <w:trHeight w:val="230"/>
        </w:trPr>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21,520</w:t>
            </w:r>
          </w:p>
        </w:tc>
      </w:tr>
      <w:tr>
        <w:trPr>
          <w:trHeight w:val="229"/>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16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20,593</w:t>
            </w:r>
          </w:p>
        </w:tc>
      </w:tr>
      <w:tr>
        <w:trPr>
          <w:trHeight w:val="230"/>
        </w:trPr>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18,582</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reportable segments are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IoT</w:t>
            </w:r>
          </w:p>
        </w:tc>
        <w:tc>
          <w:tcPr>
            <w:tcW w:w="300" w:type="dxa"/>
            <w:vAlign w:val="bottom"/>
          </w:tcPr>
          <w:p>
            <w:pPr>
              <w:spacing w:after="0"/>
              <w:rPr>
                <w:sz w:val="17"/>
                <w:szCs w:val="17"/>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IoT</w:t>
            </w: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3"/>
        </w:trPr>
        <w:tc>
          <w:tcPr>
            <w:tcW w:w="5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Products &amp; Services</w:t>
            </w:r>
          </w:p>
        </w:tc>
        <w:tc>
          <w:tcPr>
            <w:tcW w:w="300" w:type="dxa"/>
            <w:vAlign w:val="bottom"/>
          </w:tcPr>
          <w:p>
            <w:pPr>
              <w:spacing w:after="0"/>
              <w:rPr>
                <w:sz w:val="21"/>
                <w:szCs w:val="21"/>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Solutions</w:t>
            </w:r>
          </w:p>
        </w:tc>
        <w:tc>
          <w:tcPr>
            <w:tcW w:w="360" w:type="dxa"/>
            <w:vAlign w:val="bottom"/>
          </w:tcPr>
          <w:p>
            <w:pPr>
              <w:spacing w:after="0"/>
              <w:rPr>
                <w:sz w:val="21"/>
                <w:szCs w:val="21"/>
                <w:color w:val="auto"/>
              </w:rPr>
            </w:pPr>
          </w:p>
        </w:tc>
        <w:tc>
          <w:tcPr>
            <w:tcW w:w="12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2020</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160,365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210,135</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13,472</w:t>
            </w: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225,522</w:t>
            </w: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24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118,635</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September 30, 2022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340,477</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goodwill impairment has been recorded in any period presented.</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Goodwill represents the excess of cost over the fair value of net identifiable assets acquired. Goodwill is quantitatively tested for impairment on an annual basis as of June 30, or more frequently if events or circumstances occur which could indicate impairment. We continue to have two reportable segments, our IoT Products &amp; Services segment and our IoT Solutions segment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Effective with the reorganization announcement on October 7, 2020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000000"/>
        </w:rPr>
        <w:t>), our IoT Products &amp; Services business is now structured to include four reporting units under the IoT Products &amp; Services segment, each with a</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reporting manager: Cellular Routers, Console Servers, OEM Solutions and Infrastructure Management. Due to the reorganization, we performed our fiscal third quarter 2021 annual impairment test for those four reporting units along with our IoT Solutions segment. Following our acquisition of Ventus, IoT Solutions is comprised of two reporting units. All six reporting units were included in our fiscal third quarter 2022 annual impairment test.</w:t>
      </w:r>
    </w:p>
    <w:p>
      <w:pPr>
        <w:spacing w:after="0" w:line="21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For our quantitative goodwill impairment tests, we determine the estimated fair value of each reporting unit and compare it to the carrying value of the reporting unit, including goodwill. If the carrying amount of a reporting unit is higher than its estimated fair value, then an impairment loss must be recognized for the excess. Fair values for the six reporting units were each estimated on a standalone basis using a weighted combination of the income approach and market approach.</w:t>
      </w:r>
    </w:p>
    <w:p>
      <w:pPr>
        <w:spacing w:after="0" w:line="15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income approach indicates the fair value of a business based on the value of the cash flows the business or asset can be expected to generate in the future. A commonly used variation of the income approach used to value a business is the discounted cash flow (“DCF”) method. The DCF method is a valuation technique in which the value of a business is estimated on the earnings capacity, or available cash flow, of that business. Earnings capacity represents the earnings available for distribution to stockholders after consideration of the reinvestment required for future growth. Significant judgment is required to estimate the amount and timing of future cash flows for each reporting unit and the relative risk of achieving those cash flows.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GOODWILL AND OTHER IDENTIFIABLE INTANGIBLE ASSETS, NET (CONTINUED)</w:t>
      </w:r>
    </w:p>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market approach indicates the fair value of a business or asset based on a comparison of the business or asset to comparable publicly traded companies or assets and transactions in its industry as well as our prior acquisitions. This approach can be estimated through the guideline company method. This method indicates fair value of a business by comparing it to publicly traded companies in similar lines of business. After identifying and selecting the guideline companies, we make judgments about the comparability of the companies based on size, growth rates, profitability, risk, and return on investment in order to estimate market multiples. These multiples are then applied to the reporting units to estimate a fair value.</w:t>
      </w:r>
    </w:p>
    <w:p>
      <w:pPr>
        <w:spacing w:after="0" w:line="14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Assumptions and estimates to determine fair values under the income and market approaches are complex and often subjective. They can be affected by a variety of factors. These include external factors such as industry and economic trends. They also include internal factors such as changes in our business strategy and our internal forecasts. Changes in circumstances or a potential event could negatively affect the estimated fair values. We will continue to monitor potential COVID-19 industry and demand impacts as this could potentially affect our cash flows and market capitalization. If our future operating results do not meet current forecasts or if we experience a sustained decline in our market capitalization that is determined to be indicative of a reduction in fair value of one or more of our reporting units, we may be required to record future impairment charges for goodwill.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our Fiscal 2022 Annual Impairment Test</w:t>
      </w:r>
    </w:p>
    <w:p>
      <w:pPr>
        <w:spacing w:after="0" w:line="20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As of June 30, 2022, we had a total of $32.7 million of goodwill for the Enterprise Routers reporting unit, $57.1 million of goodwill for the Console Servers reporting unit, $63.7 million of goodwill for the OEM Solutions reporting unit, $20.4 million of goodwill for the Infrastructure Management reporting unit, $49.5 million of goodwill for the SmartSense reporting unit and $118.3 million of goodwill for the Ventus reporting unit. At June 30, 2022, the fair value of goodwill exceeded the carrying value for all six reporting units. SmartSense and Ventus fair values exceeded carrying values by less than 10%. Implied fair value for each reporting unit was calculated on a standalone basis using a weighted combination of the income approach and market approach. The implied fair values of each reporting unit were added together along with our unallocated assets to get an indicated value of total equity to which a range of indicated value of total equity was derived. This range was compared to the total market capitalization of $852.0 million as of June 30, 2022. This implied a range of control (deficit)/ premiums of (5.6)% to 7.9%. This range of control premiums fell below the control premiums observed in the last five years in the communications equipment industry. As a result, the market capitalization reconciliation analysis proved support for the reasonableness of the fair values estimated for each individual reporting unit.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SEGMENT INFORMATION AND MAJOR CUSTOMERS</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We have two reportable operating segments: (i) IoT Products &amp; Services and (ii) IoT Solutions. This determination was made by considering both qualitative and quantitative information. The qualitative information included, but was not limited to, the following: the nature of the products and services and customers differ between the two segments, discrete financial information is available through operating income for both segments and the Chief Operating Decision Maker is reviewing both segments’ financial information separately to make decisions about the allocation of resources. Effective with the reorganization announcement on October 7, 2020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our IoT Products &amp; Services business is now structured to include four operating segments, each with a segment manager. Following our acquisition of Ventus in the first fiscal quarter of 2022, IoT Solutions is comprised of two reporting units; Ventus and SmartSense. We have six reporting units that have been tested individually for impairment.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IoT Products &amp; Services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IoT Products &amp; Services segment is composed of the following four operating segments:</w:t>
      </w:r>
    </w:p>
    <w:p>
      <w:pPr>
        <w:spacing w:after="0" w:line="117" w:lineRule="exact"/>
        <w:rPr>
          <w:sz w:val="20"/>
          <w:szCs w:val="20"/>
          <w:color w:val="auto"/>
        </w:rPr>
      </w:pPr>
    </w:p>
    <w:p>
      <w:pPr>
        <w:ind w:left="660" w:right="8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Cellular Routers - box devices (fully enclosed) that provide connectivity typically in a place where the device can be plugged in exclusively using cellular communications.</w:t>
      </w:r>
    </w:p>
    <w:p>
      <w:pPr>
        <w:spacing w:after="0" w:line="12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Console Servers - similar to cellular routers except they are exclusively for edge computing installations and data center applications exclusively using cellular communications.</w:t>
      </w:r>
    </w:p>
    <w:p>
      <w:pPr>
        <w:spacing w:after="0" w:line="12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Solutions - Original Equipment Manufacturers ("OEM") will be a chip, rather than a boxed device. This can come in the form of a stand-alone chip, or from a systems-on-module ("SOMs"). While cellular connectivity is used, other communication protocols can be used such as Zigbee, Bluetooth or Radio-Frequency ("RF") based on application.</w:t>
      </w:r>
    </w:p>
    <w:p>
      <w:pPr>
        <w:spacing w:after="0" w:line="148"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Management - includes battery operated, cellular enabled connect sensors as well as other types of console server applications that are more Digi Accelerated Linux ("DAL") based than Console Servers. This operating segment has some products that do not use cellular communications, but a large part of this segment does use cellular communications.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IoT Solutions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acquisition of Ventus on November 1, 2021, IoT Solutions is now comprised of two operating segments:</w:t>
      </w:r>
    </w:p>
    <w:p>
      <w:pPr>
        <w:spacing w:after="0" w:line="198" w:lineRule="exact"/>
        <w:rPr>
          <w:sz w:val="20"/>
          <w:szCs w:val="20"/>
          <w:color w:val="auto"/>
        </w:rPr>
      </w:pPr>
    </w:p>
    <w:p>
      <w:pPr>
        <w:ind w:left="660" w:right="10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SmartSense - offers wireless temperature and other condition-based monitoring services for perishable goods such as food or medicine, as well as employee task management services.</w:t>
      </w:r>
    </w:p>
    <w:p>
      <w:pPr>
        <w:spacing w:after="0" w:line="12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Ventus - provides MNaaS solutions that simplify the complexity of enterprise wide area network ("WAN") connectivity via wireless and fixed line solutions.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measure our segment results primarily by reference to revenue and gross profit. IoT Solutions revenue includes product, service and subscription revenue.</w:t>
      </w:r>
    </w:p>
    <w:p>
      <w:pPr>
        <w:spacing w:after="0" w:line="13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operating segments included in each reportable segment have similar qualitative and quantitative factors, which allow us to aggregate them under each reportable segment. The qualitative factors include similar nature of products and services, production process, type or class of customers and methods used to distribute the products. The quantitative factors include similar operating margins. Our chief operating decision maker reviews and makes business decisions which includes a primary review of operating income but also includes gross profit. Following the October 2020 reorganization, the shared general and administrative costs are now being allocated to each operating segment. As a result, our disclosed measure of segment operating income has been updated for all periods presented to conform with this change.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ind w:right="5180" w:firstLine="8"/>
        <w:spacing w:after="0" w:line="430" w:lineRule="auto"/>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INFORMATION AND MAJOR CUSTOMERS (CONTINUED) Summary operating results for each of our segments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Year ended September 30,</w:t>
            </w:r>
          </w:p>
        </w:tc>
        <w:tc>
          <w:tcPr>
            <w:tcW w:w="1040" w:type="dxa"/>
            <w:vAlign w:val="bottom"/>
            <w:tcBorders>
              <w:bottom w:val="single" w:sz="8" w:color="auto"/>
            </w:tcBorders>
          </w:tcPr>
          <w:p>
            <w:pPr>
              <w:spacing w:after="0"/>
              <w:rPr>
                <w:sz w:val="20"/>
                <w:szCs w:val="20"/>
                <w:color w:val="auto"/>
              </w:rPr>
            </w:pPr>
          </w:p>
        </w:tc>
      </w:tr>
      <w:tr>
        <w:trPr>
          <w:trHeight w:val="223"/>
        </w:trPr>
        <w:tc>
          <w:tcPr>
            <w:tcW w:w="69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2020</w:t>
            </w:r>
          </w:p>
        </w:tc>
      </w:tr>
      <w:tr>
        <w:trPr>
          <w:trHeight w:val="21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297,645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264,173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249,530</w:t>
            </w:r>
          </w:p>
        </w:tc>
      </w:tr>
      <w:tr>
        <w:trPr>
          <w:trHeight w:val="229"/>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29,741</w:t>
            </w:r>
          </w:p>
        </w:tc>
      </w:tr>
      <w:tr>
        <w:trPr>
          <w:trHeight w:val="223"/>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388,225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308,632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279,271</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6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160,117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144,472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129,349</w:t>
            </w: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14,623</w:t>
            </w:r>
          </w:p>
        </w:tc>
      </w:tr>
      <w:tr>
        <w:trPr>
          <w:trHeight w:val="223"/>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216,286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166,657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143,972</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6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27,216</w:t>
            </w: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(15,899)</w:t>
            </w:r>
          </w:p>
        </w:tc>
      </w:tr>
      <w:tr>
        <w:trPr>
          <w:trHeight w:val="223"/>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11,317</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6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6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11,521</w:t>
            </w:r>
          </w:p>
        </w:tc>
      </w:tr>
      <w:tr>
        <w:trPr>
          <w:trHeight w:val="23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IoT Solutions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7,778</w:t>
            </w:r>
          </w:p>
        </w:tc>
      </w:tr>
      <w:tr>
        <w:trPr>
          <w:trHeight w:val="223"/>
        </w:trPr>
        <w:tc>
          <w:tcPr>
            <w:tcW w:w="6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19,299</w:t>
            </w:r>
          </w:p>
        </w:tc>
      </w:tr>
      <w:tr>
        <w:trPr>
          <w:trHeight w:val="21"/>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expended for property, plant and equipment was as follows (in thousands):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7"/>
        </w:trPr>
        <w:tc>
          <w:tcPr>
            <w:tcW w:w="4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September 30,</w:t>
            </w:r>
          </w:p>
        </w:tc>
        <w:tc>
          <w:tcPr>
            <w:tcW w:w="880" w:type="dxa"/>
            <w:vAlign w:val="bottom"/>
            <w:tcBorders>
              <w:bottom w:val="single" w:sz="8" w:color="auto"/>
            </w:tcBorders>
          </w:tcPr>
          <w:p>
            <w:pPr>
              <w:spacing w:after="0"/>
              <w:rPr>
                <w:sz w:val="24"/>
                <w:szCs w:val="24"/>
                <w:color w:val="auto"/>
              </w:rPr>
            </w:pPr>
          </w:p>
        </w:tc>
      </w:tr>
      <w:tr>
        <w:trPr>
          <w:trHeight w:val="223"/>
        </w:trPr>
        <w:tc>
          <w:tcPr>
            <w:tcW w:w="40" w:type="dxa"/>
            <w:vAlign w:val="bottom"/>
          </w:tcPr>
          <w:p>
            <w:pPr>
              <w:spacing w:after="0"/>
              <w:rPr>
                <w:sz w:val="19"/>
                <w:szCs w:val="19"/>
                <w:color w:val="auto"/>
              </w:rPr>
            </w:pPr>
          </w:p>
        </w:tc>
        <w:tc>
          <w:tcPr>
            <w:tcW w:w="7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40" w:type="dxa"/>
            <w:vAlign w:val="bottom"/>
          </w:tcPr>
          <w:p>
            <w:pPr>
              <w:spacing w:after="0"/>
              <w:rPr>
                <w:sz w:val="19"/>
                <w:szCs w:val="19"/>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IoT Products &amp; Services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30"/>
        </w:trPr>
        <w:tc>
          <w:tcPr>
            <w:tcW w:w="4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IoT Solutions*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8"/>
        </w:trPr>
        <w:tc>
          <w:tcPr>
            <w:tcW w:w="40" w:type="dxa"/>
            <w:vAlign w:val="bottom"/>
          </w:tcPr>
          <w:p>
            <w:pPr>
              <w:spacing w:after="0"/>
              <w:rPr>
                <w:sz w:val="21"/>
                <w:szCs w:val="21"/>
                <w:color w:val="auto"/>
              </w:rPr>
            </w:pPr>
          </w:p>
        </w:tc>
        <w:tc>
          <w:tcPr>
            <w:tcW w:w="73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expended for property, plant and equipment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0"/>
        </w:trPr>
        <w:tc>
          <w:tcPr>
            <w:tcW w:w="40" w:type="dxa"/>
            <w:vAlign w:val="bottom"/>
          </w:tcPr>
          <w:p>
            <w:pPr>
              <w:spacing w:after="0" w:line="20" w:lineRule="exact"/>
              <w:rPr>
                <w:sz w:val="1"/>
                <w:szCs w:val="1"/>
                <w:color w:val="auto"/>
              </w:rPr>
            </w:pPr>
          </w:p>
        </w:tc>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right="100" w:firstLine="8"/>
        <w:spacing w:after="0" w:line="302" w:lineRule="auto"/>
        <w:tabs>
          <w:tab w:leader="none" w:pos="10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Excluded from this amount is $6.2 million, $1.8 million and $1.4 million of transfers of inventory to property plant and equipment for subscriber assets for the year ended September 30, 2022, 2021 and 2020, respectively.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for each of our segments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As of September 30,</w:t>
            </w:r>
          </w:p>
        </w:tc>
      </w:tr>
      <w:tr>
        <w:trPr>
          <w:trHeight w:val="223"/>
        </w:trPr>
        <w:tc>
          <w:tcPr>
            <w:tcW w:w="7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IoT Products &amp; Services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386,934</w:t>
            </w:r>
          </w:p>
        </w:tc>
      </w:tr>
      <w:tr>
        <w:trPr>
          <w:trHeight w:val="23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IoT Solutions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80,165</w:t>
            </w: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152,432</w:t>
            </w:r>
          </w:p>
        </w:tc>
      </w:tr>
      <w:tr>
        <w:trPr>
          <w:trHeight w:val="223"/>
        </w:trPr>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853,895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619,531</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*Unallocated consists of 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4. SEGMENT INFORMATION AND MAJOR CUSTOMERS (CONTINUED)</w:t>
            </w: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05"/>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property, equipment and improvements by geographic location were as follows (in thousands):</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8"/>
        </w:trPr>
        <w:tc>
          <w:tcPr>
            <w:tcW w:w="784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As of September 30,</w:t>
            </w:r>
          </w:p>
        </w:tc>
        <w:tc>
          <w:tcPr>
            <w:tcW w:w="600" w:type="dxa"/>
            <w:vAlign w:val="bottom"/>
            <w:tcBorders>
              <w:bottom w:val="single" w:sz="8" w:color="auto"/>
            </w:tcBorders>
          </w:tcPr>
          <w:p>
            <w:pPr>
              <w:spacing w:after="0"/>
              <w:rPr>
                <w:sz w:val="24"/>
                <w:szCs w:val="24"/>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0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1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primarily Europe</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property, equipment and improvements</w:t>
            </w:r>
          </w:p>
        </w:tc>
        <w:tc>
          <w:tcPr>
            <w:tcW w:w="11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U.S. export sales represented 22.1%, 26.2% and 25.1% of revenue for the fiscal years ended September 30, 2022, 2021 and 2020. No single customer exceeded 10% of revenue or accounts receivable for any of the periods presented.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5. SELECTED BALANCE SHEET DATA</w:t>
            </w: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92"/>
        </w:trPr>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selected balance sheet data (in thousands):</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51"/>
        </w:trPr>
        <w:tc>
          <w:tcPr>
            <w:tcW w:w="7800" w:type="dxa"/>
            <w:vAlign w:val="bottom"/>
          </w:tcPr>
          <w:p>
            <w:pPr>
              <w:spacing w:after="0"/>
              <w:rPr>
                <w:sz w:val="24"/>
                <w:szCs w:val="24"/>
                <w:color w:val="auto"/>
              </w:rPr>
            </w:pPr>
          </w:p>
        </w:tc>
        <w:tc>
          <w:tcPr>
            <w:tcW w:w="280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As of September 30,</w:t>
            </w:r>
          </w:p>
        </w:tc>
        <w:tc>
          <w:tcPr>
            <w:tcW w:w="600" w:type="dxa"/>
            <w:vAlign w:val="bottom"/>
            <w:tcBorders>
              <w:bottom w:val="single" w:sz="8" w:color="auto"/>
            </w:tcBorders>
          </w:tcPr>
          <w:p>
            <w:pPr>
              <w:spacing w:after="0"/>
              <w:rPr>
                <w:sz w:val="24"/>
                <w:szCs w:val="24"/>
                <w:color w:val="auto"/>
              </w:rPr>
            </w:pPr>
          </w:p>
        </w:tc>
      </w:tr>
      <w:tr>
        <w:trPr>
          <w:trHeight w:val="223"/>
        </w:trPr>
        <w:tc>
          <w:tcPr>
            <w:tcW w:w="78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00" w:type="dxa"/>
            <w:vAlign w:val="bottom"/>
            <w:tcBorders>
              <w:bottom w:val="single" w:sz="8" w:color="auto"/>
            </w:tcBorders>
          </w:tcPr>
          <w:p>
            <w:pPr>
              <w:spacing w:after="0"/>
              <w:rPr>
                <w:sz w:val="19"/>
                <w:szCs w:val="19"/>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58,967</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51,828</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w:t>
            </w:r>
          </w:p>
        </w:tc>
      </w:tr>
      <w:tr>
        <w:trPr>
          <w:trHeight w:val="230"/>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reserve for future credit returns and pricing adjustments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w:t>
            </w:r>
          </w:p>
        </w:tc>
      </w:tr>
      <w:tr>
        <w:trPr>
          <w:trHeight w:val="248"/>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Raw materials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39,189</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27,265</w:t>
            </w: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Work in process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16,642</w:t>
            </w:r>
          </w:p>
        </w:tc>
      </w:tr>
      <w:tr>
        <w:trPr>
          <w:trHeight w:val="248"/>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43,921</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improvements, net: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Buildings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Improvements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9,367</w:t>
            </w: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w:t>
            </w: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Purchased software</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Furniture and fixtures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r>
      <w:tr>
        <w:trPr>
          <w:trHeight w:val="230"/>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Subscriber assets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w:t>
            </w:r>
          </w:p>
        </w:tc>
      </w:tr>
      <w:tr>
        <w:trPr>
          <w:trHeight w:val="223"/>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equipment and improvements, gross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41,177</w:t>
            </w:r>
          </w:p>
        </w:tc>
      </w:tr>
      <w:tr>
        <w:trPr>
          <w:trHeight w:val="230"/>
        </w:trPr>
        <w:tc>
          <w:tcPr>
            <w:tcW w:w="7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33,700</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29,045</w:t>
            </w:r>
          </w:p>
        </w:tc>
      </w:tr>
      <w:tr>
        <w:trPr>
          <w:trHeight w:val="248"/>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equipment and improvements, net</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FAIR VALUE MEASUREMENTS</w:t>
      </w:r>
    </w:p>
    <w:p>
      <w:pPr>
        <w:spacing w:after="0" w:line="19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There were no transfers into or out of our Level 2 financial assets during fiscal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assets or liabilities that are measured at fair value on a recurring basis as of September 30,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by level for financial assets and liabilities that are measured at fair value on a recurring basis as of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gridSpan w:val="7"/>
          </w:tcPr>
          <w:p>
            <w:pPr>
              <w:jc w:val="center"/>
              <w:ind w:right="90"/>
              <w:spacing w:after="0"/>
              <w:rPr>
                <w:sz w:val="20"/>
                <w:szCs w:val="20"/>
                <w:color w:val="auto"/>
              </w:rPr>
            </w:pPr>
            <w:r>
              <w:rPr>
                <w:rFonts w:ascii="Times New Roman" w:cs="Times New Roman" w:eastAsia="Times New Roman" w:hAnsi="Times New Roman"/>
                <w:sz w:val="18"/>
                <w:szCs w:val="18"/>
                <w:color w:val="auto"/>
                <w:w w:val="99"/>
              </w:rPr>
              <w:t>Fair Value Measurements at September 30, 2021 using:</w:t>
            </w:r>
          </w:p>
        </w:tc>
      </w:tr>
      <w:tr>
        <w:trPr>
          <w:trHeight w:val="178"/>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300"/>
              <w:spacing w:after="0" w:line="177" w:lineRule="exact"/>
              <w:rPr>
                <w:sz w:val="20"/>
                <w:szCs w:val="20"/>
                <w:color w:val="auto"/>
              </w:rPr>
            </w:pPr>
            <w:r>
              <w:rPr>
                <w:rFonts w:ascii="Times New Roman" w:cs="Times New Roman" w:eastAsia="Times New Roman" w:hAnsi="Times New Roman"/>
                <w:sz w:val="18"/>
                <w:szCs w:val="18"/>
                <w:color w:val="auto"/>
                <w:w w:val="97"/>
              </w:rPr>
              <w:t>Total carrying</w:t>
            </w:r>
          </w:p>
        </w:tc>
        <w:tc>
          <w:tcPr>
            <w:tcW w:w="160" w:type="dxa"/>
            <w:vAlign w:val="bottom"/>
          </w:tcPr>
          <w:p>
            <w:pPr>
              <w:spacing w:after="0"/>
              <w:rPr>
                <w:sz w:val="15"/>
                <w:szCs w:val="15"/>
                <w:color w:val="auto"/>
              </w:rPr>
            </w:pPr>
          </w:p>
        </w:tc>
        <w:tc>
          <w:tcPr>
            <w:tcW w:w="1560" w:type="dxa"/>
            <w:vAlign w:val="bottom"/>
            <w:gridSpan w:val="2"/>
          </w:tcPr>
          <w:p>
            <w:pPr>
              <w:jc w:val="center"/>
              <w:ind w:right="280"/>
              <w:spacing w:after="0" w:line="177" w:lineRule="exact"/>
              <w:rPr>
                <w:sz w:val="20"/>
                <w:szCs w:val="20"/>
                <w:color w:val="auto"/>
              </w:rPr>
            </w:pPr>
            <w:r>
              <w:rPr>
                <w:rFonts w:ascii="Times New Roman" w:cs="Times New Roman" w:eastAsia="Times New Roman" w:hAnsi="Times New Roman"/>
                <w:sz w:val="18"/>
                <w:szCs w:val="18"/>
                <w:color w:val="auto"/>
                <w:w w:val="99"/>
              </w:rPr>
              <w:t>Quoted price in</w:t>
            </w:r>
          </w:p>
        </w:tc>
        <w:tc>
          <w:tcPr>
            <w:tcW w:w="140" w:type="dxa"/>
            <w:vAlign w:val="bottom"/>
          </w:tcPr>
          <w:p>
            <w:pPr>
              <w:spacing w:after="0"/>
              <w:rPr>
                <w:sz w:val="15"/>
                <w:szCs w:val="15"/>
                <w:color w:val="auto"/>
              </w:rPr>
            </w:pPr>
          </w:p>
        </w:tc>
        <w:tc>
          <w:tcPr>
            <w:tcW w:w="1580" w:type="dxa"/>
            <w:vAlign w:val="bottom"/>
            <w:gridSpan w:val="2"/>
          </w:tcPr>
          <w:p>
            <w:pPr>
              <w:jc w:val="center"/>
              <w:ind w:right="240"/>
              <w:spacing w:after="0" w:line="177" w:lineRule="exact"/>
              <w:rPr>
                <w:sz w:val="20"/>
                <w:szCs w:val="20"/>
                <w:color w:val="auto"/>
              </w:rPr>
            </w:pPr>
            <w:r>
              <w:rPr>
                <w:rFonts w:ascii="Times New Roman" w:cs="Times New Roman" w:eastAsia="Times New Roman" w:hAnsi="Times New Roman"/>
                <w:sz w:val="18"/>
                <w:szCs w:val="18"/>
                <w:color w:val="auto"/>
              </w:rPr>
              <w:t>Significant other</w:t>
            </w:r>
          </w:p>
        </w:tc>
        <w:tc>
          <w:tcPr>
            <w:tcW w:w="280" w:type="dxa"/>
            <w:vAlign w:val="bottom"/>
          </w:tcPr>
          <w:p>
            <w:pPr>
              <w:spacing w:after="0"/>
              <w:rPr>
                <w:sz w:val="15"/>
                <w:szCs w:val="15"/>
                <w:color w:val="auto"/>
              </w:rPr>
            </w:pPr>
          </w:p>
        </w:tc>
        <w:tc>
          <w:tcPr>
            <w:tcW w:w="1360" w:type="dxa"/>
            <w:vAlign w:val="bottom"/>
          </w:tcPr>
          <w:p>
            <w:pPr>
              <w:jc w:val="center"/>
              <w:ind w:right="190"/>
              <w:spacing w:after="0" w:line="177" w:lineRule="exact"/>
              <w:rPr>
                <w:sz w:val="20"/>
                <w:szCs w:val="20"/>
                <w:color w:val="auto"/>
              </w:rPr>
            </w:pPr>
            <w:r>
              <w:rPr>
                <w:rFonts w:ascii="Times New Roman" w:cs="Times New Roman" w:eastAsia="Times New Roman" w:hAnsi="Times New Roman"/>
                <w:sz w:val="18"/>
                <w:szCs w:val="18"/>
                <w:color w:val="auto"/>
              </w:rPr>
              <w:t>Significant</w:t>
            </w:r>
          </w:p>
        </w:tc>
      </w:tr>
      <w:tr>
        <w:trPr>
          <w:trHeight w:val="180"/>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w w:val="99"/>
              </w:rPr>
              <w:t>value at</w:t>
            </w:r>
          </w:p>
        </w:tc>
        <w:tc>
          <w:tcPr>
            <w:tcW w:w="160" w:type="dxa"/>
            <w:vAlign w:val="bottom"/>
          </w:tcPr>
          <w:p>
            <w:pPr>
              <w:spacing w:after="0"/>
              <w:rPr>
                <w:sz w:val="15"/>
                <w:szCs w:val="15"/>
                <w:color w:val="auto"/>
              </w:rPr>
            </w:pPr>
          </w:p>
        </w:tc>
        <w:tc>
          <w:tcPr>
            <w:tcW w:w="1560" w:type="dxa"/>
            <w:vAlign w:val="bottom"/>
            <w:gridSpan w:val="2"/>
          </w:tcPr>
          <w:p>
            <w:pPr>
              <w:jc w:val="center"/>
              <w:ind w:right="280"/>
              <w:spacing w:after="0" w:line="181" w:lineRule="exact"/>
              <w:rPr>
                <w:sz w:val="20"/>
                <w:szCs w:val="20"/>
                <w:color w:val="auto"/>
              </w:rPr>
            </w:pPr>
            <w:r>
              <w:rPr>
                <w:rFonts w:ascii="Times New Roman" w:cs="Times New Roman" w:eastAsia="Times New Roman" w:hAnsi="Times New Roman"/>
                <w:sz w:val="18"/>
                <w:szCs w:val="18"/>
                <w:color w:val="auto"/>
                <w:w w:val="99"/>
              </w:rPr>
              <w:t>active markets</w:t>
            </w:r>
          </w:p>
        </w:tc>
        <w:tc>
          <w:tcPr>
            <w:tcW w:w="140" w:type="dxa"/>
            <w:vAlign w:val="bottom"/>
          </w:tcPr>
          <w:p>
            <w:pPr>
              <w:spacing w:after="0"/>
              <w:rPr>
                <w:sz w:val="15"/>
                <w:szCs w:val="15"/>
                <w:color w:val="auto"/>
              </w:rPr>
            </w:pPr>
          </w:p>
        </w:tc>
        <w:tc>
          <w:tcPr>
            <w:tcW w:w="1580" w:type="dxa"/>
            <w:vAlign w:val="bottom"/>
            <w:gridSpan w:val="2"/>
          </w:tcPr>
          <w:p>
            <w:pPr>
              <w:jc w:val="center"/>
              <w:ind w:right="240"/>
              <w:spacing w:after="0" w:line="181" w:lineRule="exact"/>
              <w:rPr>
                <w:sz w:val="20"/>
                <w:szCs w:val="20"/>
                <w:color w:val="auto"/>
              </w:rPr>
            </w:pPr>
            <w:r>
              <w:rPr>
                <w:rFonts w:ascii="Times New Roman" w:cs="Times New Roman" w:eastAsia="Times New Roman" w:hAnsi="Times New Roman"/>
                <w:sz w:val="18"/>
                <w:szCs w:val="18"/>
                <w:color w:val="auto"/>
                <w:w w:val="99"/>
              </w:rPr>
              <w:t>observable inputs</w:t>
            </w:r>
          </w:p>
        </w:tc>
        <w:tc>
          <w:tcPr>
            <w:tcW w:w="164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unobservable inputs</w:t>
            </w:r>
          </w:p>
        </w:tc>
      </w:tr>
      <w:tr>
        <w:trPr>
          <w:trHeight w:val="229"/>
        </w:trPr>
        <w:tc>
          <w:tcPr>
            <w:tcW w:w="4520" w:type="dxa"/>
            <w:vAlign w:val="bottom"/>
          </w:tcPr>
          <w:p>
            <w:pPr>
              <w:spacing w:after="0"/>
              <w:rPr>
                <w:sz w:val="19"/>
                <w:szCs w:val="19"/>
                <w:color w:val="auto"/>
              </w:rPr>
            </w:pPr>
          </w:p>
        </w:tc>
        <w:tc>
          <w:tcPr>
            <w:tcW w:w="16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30, 2021</w:t>
            </w:r>
          </w:p>
        </w:tc>
        <w:tc>
          <w:tcPr>
            <w:tcW w:w="160" w:type="dxa"/>
            <w:vAlign w:val="bottom"/>
          </w:tcPr>
          <w:p>
            <w:pPr>
              <w:spacing w:after="0"/>
              <w:rPr>
                <w:sz w:val="19"/>
                <w:szCs w:val="19"/>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19"/>
                <w:szCs w:val="19"/>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2)</w:t>
            </w:r>
          </w:p>
        </w:tc>
        <w:tc>
          <w:tcPr>
            <w:tcW w:w="280" w:type="dxa"/>
            <w:vAlign w:val="bottom"/>
          </w:tcPr>
          <w:p>
            <w:pPr>
              <w:spacing w:after="0"/>
              <w:rPr>
                <w:sz w:val="19"/>
                <w:szCs w:val="19"/>
                <w:color w:val="auto"/>
              </w:rPr>
            </w:pP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4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Contingent consideration on acquired businesses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48"/>
        </w:trPr>
        <w:tc>
          <w:tcPr>
            <w:tcW w:w="45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October 2015 acquisition of Bluenica, we agreed to make contingent payments over a period of up to 4 years, subject to achieving specified revenue thresholds for sales of Bluenica products. The fair value of the liability for contingent consideration recognized was $10.4 million upon acquisition. We paid $0.5 million in fiscal 2017, no payments in fiscal 2018, $2.2 million in fiscal 2019 and the final installment of $2.9 million in fiscal 2020.</w:t>
      </w:r>
    </w:p>
    <w:p>
      <w:pPr>
        <w:spacing w:after="0" w:line="13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our acquisition of Accelerated, we agreed to make contingent payments, based upon certain sales thresholds of Accelerated products. The fair values of the liability for contingent consideration recognized upon acquisition of Accelerated on January 22, 2018 was $2.3 million. We paid the first installment of $3.5 million in fiscal 2019 and the final installment of $2.4 million in the third quarter of fiscal 2020.</w:t>
      </w:r>
    </w:p>
    <w:p>
      <w:pPr>
        <w:spacing w:after="0" w:line="135"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In connection with our acquisition of Opengear, we agreed to make contingent payments, based upon certain revenue thresholds. We paid the first installment of $0.9 million during the third quarter of fiscal 2020. We paid the final installment of $10.0 million during the second quarter of fiscal 2021.</w:t>
      </w:r>
    </w:p>
    <w:p>
      <w:pPr>
        <w:spacing w:after="0" w:line="11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our acquisition of Haxiot, we agreed to make contingent earn-out payments, based upon certain revenue thresholds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the consolidated financial statements). In the third quarter of fiscal 2021, the preliminary purchase price allocation was updated, including related determination of fair value and income tax implications. As a result, we adjusted goodwill to $8.6 million and adjusted contingent consideration to $5.9 million on our balance sheet. In the fiscal fourth quarter of 2022, it was determined that the revenue thresholds would not be met and the remaining balance was adjusted down by $5.9 million. The fair value of the remaining liability for contingent consideration for the acquisition of Haxiot was $0.0 million at September 30, 2022.</w:t>
      </w:r>
    </w:p>
    <w:p>
      <w:pPr>
        <w:spacing w:after="0" w:line="14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our acquisition of Ctek, we agreed to make contingent earn-out payments, based upon certain revenue thresholds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to the consolidated financial statements). In the fiscal fourth quarter of 2022, it was determined that the revenue thresholds would not be met and the remaining balance was adjusted down by $0.3 million . The fair value of the remaining liability for contingent consideration for the acquisition of Ctek was $0.0 million at September 30, 2022.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FAIR VALUE MEASUREMENTS (CONTINUED)</w:t>
      </w:r>
    </w:p>
    <w:p>
      <w:pPr>
        <w:spacing w:after="0" w:line="19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the contingent consideration liability measured at fair value on a recurring basis using significant unobservable inputs (Level 3)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sz w:val="20"/>
                <w:szCs w:val="20"/>
                <w:color w:val="auto"/>
              </w:rPr>
            </w:pPr>
          </w:p>
        </w:tc>
        <w:tc>
          <w:tcPr>
            <w:tcW w:w="3180" w:type="dxa"/>
            <w:vAlign w:val="bottom"/>
            <w:tcBorders>
              <w:bottom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color w:val="auto"/>
              </w:rPr>
              <w:t>Year ended September 30,</w:t>
            </w:r>
          </w:p>
        </w:tc>
      </w:tr>
      <w:tr>
        <w:trPr>
          <w:trHeight w:val="223"/>
        </w:trPr>
        <w:tc>
          <w:tcPr>
            <w:tcW w:w="80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price contingent consideration</w:t>
            </w:r>
          </w:p>
        </w:tc>
        <w:tc>
          <w:tcPr>
            <w:tcW w:w="94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(6,200)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change in fair value of contingent consideration reflects our estimate of the probability of achieving the relevant targets and is discounted based on our estimated discount rate. Due to the timing of the acquisition, the fair value of the contingent consideration at September 30, 2022 is based on the probability of achieving the specified revenue thresholds for Haxiot and Ctek. As of September 30, 2022, contingent consideration associated with Haxiot and Ctek remain subject to future performance through December 31, 2022 and 2023,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INDEBTEDNESS</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1, 2021, we entered into a second amended and restated credit agreement with BMO Harris Bank N.A. ("BMO"). This agreement provides us with a senior secured credit facility (the "Credit Facility") consisting of a $350 million term loan B secured loan (the “Term Loan Facility”) and a $35 million revolving credit facility (the “Revolving Loan Facility”) with an uncommitted option to increase incremental loans under the Credit Facility, subject to an incremental cap. The Revolving Loan Facility includes a $10 million letter of credit subfacility and $10 million swingline subfacility. Digi may use proceeds of the Revolving Loan Facility in the future for general corporate purposes. This loan replaced our syndicated senior secured credit agreement with BMO that was entered into on March 15, 2021 and replaced the remaining balance of our revolver with this new term loan. This prior agreement provided us with committed credit facilities ("Prior Credit Facility") consisting of a $200 million revolving loan.</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December 22, 2021, Digi entered into a third amended and restated credit agreement with BMO. Digi refinanced the Term Loan Facility and Revolving Loan Facility under its existing credit agreement entered into on November 1, 2021, but did not receive any additional proceeds from nor modify the amounts of any facilities or subfacilities contained within that credit agreement.</w:t>
      </w:r>
    </w:p>
    <w:p>
      <w:pPr>
        <w:spacing w:after="0" w:line="13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Following the December amendment, borrowings under the Term Loan Facility bear interest at a rate per annum equal to LIBOR with a floor of 0.50% for an interest period of one, three or six months as selected by Digi, reset at the end of the selected interest period (or a replacement benchmark rate if LIBOR is no longer available) plus 5.00% or a base rate plus 4.00%. The base rate is determined by reference to the highest of BMO’s prime rate, the Federal Funds Effective Rate plus 0.50%, or the one-month LIBOR for U.S. dollars plus 1.00%. The applicable margin for loans under the Revolving Credit Facility is in a range of 4.00% to 3.75% for LIBOR loans and 3.00% to 2.75% for base rate loans, depending on Digi’s consolidated leverage ratio. In addition to paying interest on the outstanding balance under the Credit Facility, we are required to pay a commitment fee on the non-utilized commitments thereunder which is also reported in interest expense. Our weighted average interest rate at September 30, 2022 was 6.85%.</w:t>
      </w:r>
    </w:p>
    <w:p>
      <w:pPr>
        <w:spacing w:after="0" w:line="14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debt issuance costs and remaining balance under the Prior Credit Facility totaled $2.3 million at November 1, 2021. Of this amount $1.9 million was written off and included in interest expense upon the entry into the new amendment and $0.4 million is being amortized over the term of the amended loan and reported in interest expense. Digi incurred an additional $11.7 million and $1.7 million in debt issuance costs relating to the November 1, 2021 and December 22, 2021 amendments, respectively. These amounts will be amortized over the term of the amended loan and reported in interest expense.</w:t>
      </w:r>
    </w:p>
    <w:p>
      <w:pPr>
        <w:spacing w:after="0" w:line="15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Term Loan is payable in quarterly installments, with the balance remaining due at November 2, 2028. The Revolving Loan is due in a lump sum payment at maturity on November 2, 2028, if any amounts are drawn. The fair value of the Term Loan and Revolving Loan approximated carrying value at September 30, 2022.</w:t>
      </w:r>
    </w:p>
    <w:p>
      <w:pPr>
        <w:spacing w:after="0" w:line="13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Digi made early payments against the term loan of $50 million in December 2021, $11.3 million in March 2022, $20 million in June 2022 and $18.7 million in September 2022 for a total of $100 million in fiscal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7. INDEBTEDNESS (CONTINUED)</w:t>
            </w: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05"/>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is a summary of our long-term indebtedness (in thousands):</w:t>
            </w: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08"/>
        </w:trPr>
        <w:tc>
          <w:tcPr>
            <w:tcW w:w="68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80" w:type="dxa"/>
            <w:vAlign w:val="bottom"/>
            <w:gridSpan w:val="2"/>
          </w:tcPr>
          <w:p>
            <w:pPr>
              <w:spacing w:after="0"/>
              <w:rPr>
                <w:sz w:val="9"/>
                <w:szCs w:val="9"/>
                <w:color w:val="auto"/>
              </w:rPr>
            </w:pPr>
          </w:p>
        </w:tc>
        <w:tc>
          <w:tcPr>
            <w:tcW w:w="1280" w:type="dxa"/>
            <w:vAlign w:val="bottom"/>
          </w:tcPr>
          <w:p>
            <w:pPr>
              <w:spacing w:after="0"/>
              <w:rPr>
                <w:sz w:val="9"/>
                <w:szCs w:val="9"/>
                <w:color w:val="auto"/>
              </w:rPr>
            </w:pPr>
          </w:p>
        </w:tc>
      </w:tr>
      <w:tr>
        <w:trPr>
          <w:trHeight w:val="230"/>
        </w:trPr>
        <w:tc>
          <w:tcPr>
            <w:tcW w:w="680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1280" w:type="dxa"/>
            <w:vAlign w:val="bottom"/>
            <w:tcBorders>
              <w:bottom w:val="single" w:sz="8" w:color="auto"/>
            </w:tcBorders>
            <w:shd w:val="clear" w:color="auto" w:fill="CCEEFF"/>
          </w:tcPr>
          <w:p>
            <w:pPr>
              <w:spacing w:after="0"/>
              <w:rPr>
                <w:sz w:val="19"/>
                <w:szCs w:val="19"/>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48,118</w:t>
            </w:r>
          </w:p>
        </w:tc>
      </w:tr>
      <w:tr>
        <w:trPr>
          <w:trHeight w:val="229"/>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1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loans</w:t>
            </w:r>
          </w:p>
        </w:tc>
        <w:tc>
          <w:tcPr>
            <w:tcW w:w="1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48,118</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1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(12,029)</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26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222,448</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45,799</w:t>
            </w:r>
          </w:p>
        </w:tc>
      </w:tr>
      <w:tr>
        <w:trPr>
          <w:trHeight w:val="21"/>
        </w:trPr>
        <w:tc>
          <w:tcPr>
            <w:tcW w:w="68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is a summary of future maturities of our aggregate long-term debt at September 30, 2022 (in thousands):</w:t>
            </w: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56"/>
        </w:trPr>
        <w:tc>
          <w:tcPr>
            <w:tcW w:w="40" w:type="dxa"/>
            <w:vAlign w:val="bottom"/>
          </w:tcPr>
          <w:p>
            <w:pPr>
              <w:spacing w:after="0"/>
              <w:rPr>
                <w:sz w:val="22"/>
                <w:szCs w:val="22"/>
                <w:color w:val="auto"/>
              </w:rPr>
            </w:pPr>
          </w:p>
        </w:tc>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440" w:type="dxa"/>
            <w:vAlign w:val="bottom"/>
          </w:tcPr>
          <w:p>
            <w:pPr>
              <w:spacing w:after="0"/>
              <w:rPr>
                <w:sz w:val="22"/>
                <w:szCs w:val="22"/>
                <w:color w:val="auto"/>
              </w:rPr>
            </w:pPr>
          </w:p>
        </w:tc>
        <w:tc>
          <w:tcPr>
            <w:tcW w:w="17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40" w:type="dxa"/>
            <w:vAlign w:val="bottom"/>
          </w:tcPr>
          <w:p>
            <w:pPr>
              <w:spacing w:after="0"/>
              <w:rPr>
                <w:sz w:val="19"/>
                <w:szCs w:val="19"/>
                <w:color w:val="auto"/>
              </w:rPr>
            </w:pPr>
          </w:p>
        </w:tc>
        <w:tc>
          <w:tcPr>
            <w:tcW w:w="8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r>
      <w:tr>
        <w:trPr>
          <w:trHeight w:val="229"/>
        </w:trPr>
        <w:tc>
          <w:tcPr>
            <w:tcW w:w="4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r>
      <w:tr>
        <w:trPr>
          <w:trHeight w:val="230"/>
        </w:trPr>
        <w:tc>
          <w:tcPr>
            <w:tcW w:w="40" w:type="dxa"/>
            <w:vAlign w:val="bottom"/>
          </w:tcPr>
          <w:p>
            <w:pPr>
              <w:spacing w:after="0"/>
              <w:rPr>
                <w:sz w:val="19"/>
                <w:szCs w:val="19"/>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r>
      <w:tr>
        <w:trPr>
          <w:trHeight w:val="229"/>
        </w:trPr>
        <w:tc>
          <w:tcPr>
            <w:tcW w:w="40" w:type="dxa"/>
            <w:vAlign w:val="bottom"/>
          </w:tcPr>
          <w:p>
            <w:pPr>
              <w:spacing w:after="0"/>
              <w:rPr>
                <w:sz w:val="19"/>
                <w:szCs w:val="19"/>
                <w:color w:val="auto"/>
              </w:rPr>
            </w:pPr>
          </w:p>
        </w:tc>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r>
      <w:tr>
        <w:trPr>
          <w:trHeight w:val="229"/>
        </w:trPr>
        <w:tc>
          <w:tcPr>
            <w:tcW w:w="40" w:type="dxa"/>
            <w:vAlign w:val="bottom"/>
          </w:tcPr>
          <w:p>
            <w:pPr>
              <w:spacing w:after="0"/>
              <w:rPr>
                <w:sz w:val="19"/>
                <w:szCs w:val="19"/>
                <w:color w:val="auto"/>
              </w:rPr>
            </w:pPr>
          </w:p>
        </w:tc>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r>
      <w:tr>
        <w:trPr>
          <w:trHeight w:val="230"/>
        </w:trPr>
        <w:tc>
          <w:tcPr>
            <w:tcW w:w="40" w:type="dxa"/>
            <w:vAlign w:val="bottom"/>
          </w:tcPr>
          <w:p>
            <w:pPr>
              <w:spacing w:after="0"/>
              <w:rPr>
                <w:sz w:val="19"/>
                <w:szCs w:val="19"/>
                <w:color w:val="auto"/>
              </w:rPr>
            </w:pPr>
          </w:p>
        </w:tc>
        <w:tc>
          <w:tcPr>
            <w:tcW w:w="8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162,500</w:t>
            </w:r>
          </w:p>
        </w:tc>
      </w:tr>
      <w:tr>
        <w:trPr>
          <w:trHeight w:val="248"/>
        </w:trPr>
        <w:tc>
          <w:tcPr>
            <w:tcW w:w="40" w:type="dxa"/>
            <w:vAlign w:val="bottom"/>
          </w:tcPr>
          <w:p>
            <w:pPr>
              <w:spacing w:after="0"/>
              <w:rPr>
                <w:sz w:val="21"/>
                <w:szCs w:val="21"/>
                <w:color w:val="auto"/>
              </w:rPr>
            </w:pPr>
          </w:p>
        </w:tc>
        <w:tc>
          <w:tcPr>
            <w:tcW w:w="9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0"/>
        </w:trPr>
        <w:tc>
          <w:tcPr>
            <w:tcW w:w="40" w:type="dxa"/>
            <w:vAlign w:val="bottom"/>
          </w:tcPr>
          <w:p>
            <w:pPr>
              <w:spacing w:after="0" w:line="20" w:lineRule="exact"/>
              <w:rPr>
                <w:sz w:val="1"/>
                <w:szCs w:val="1"/>
                <w:color w:val="auto"/>
              </w:rPr>
            </w:pPr>
          </w:p>
        </w:tc>
        <w:tc>
          <w:tcPr>
            <w:tcW w:w="8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 and Security Interest</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agreements governing the Credit Facility contain a number of covenants. Among other thing, these covenants require us to maintain certain financial ratios (net leverage ratio and minimum fixed charge ratio). At September 30, 2022, we were in compliance with our debt covenants. Amounts borrowed under the Credit Facility are secured by substantially all of our assets.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PRODUCT WARRANTY OBLIGATION</w:t>
      </w:r>
    </w:p>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associated with the product warranty accrual (in thousands) and is listed on our consolidated balance sheets within other current liabilities: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w:t>
            </w:r>
          </w:p>
        </w:tc>
        <w:tc>
          <w:tcPr>
            <w:tcW w:w="2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Warranties</w:t>
            </w:r>
          </w:p>
        </w:tc>
        <w:tc>
          <w:tcPr>
            <w:tcW w:w="2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Settlements</w:t>
            </w:r>
          </w:p>
        </w:tc>
        <w:tc>
          <w:tcPr>
            <w:tcW w:w="140" w:type="dxa"/>
            <w:vAlign w:val="bottom"/>
          </w:tcPr>
          <w:p>
            <w:pPr>
              <w:spacing w:after="0"/>
              <w:rPr>
                <w:sz w:val="19"/>
                <w:szCs w:val="19"/>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Balance at</w:t>
            </w: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260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October 1</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accrued</w:t>
            </w: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made</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3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6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30"/>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905"/>
        </w:trPr>
        <w:tc>
          <w:tcPr>
            <w:tcW w:w="314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5"/>
        </w:trPr>
        <w:tc>
          <w:tcPr>
            <w:tcW w:w="314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 LEASES</w:t>
      </w:r>
    </w:p>
    <w:p>
      <w:pPr>
        <w:spacing w:after="0" w:line="18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All of our leases are operating leases and primarily consist of leases for office space. For any lease with an initial term in excess of twelve months, the related lease assets and lease liabilities are recognized on our consolidated balance sheets as either operating or financing leases at the inception of an agreement where it is determined that a lease exists. We have lease agreements that contain both lease and non-lease components. We have elected to combine lease and non-lease components for all classes of assets. Leases with an initial term of twelve months or less are not recorded on our consolidated balance sheets. Instead we recognize lease expense for these leases on a straight-line basis over the lease term.</w:t>
      </w:r>
    </w:p>
    <w:p>
      <w:pPr>
        <w:spacing w:after="0" w:line="1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Operating lease assets represent the right to use an underlying asset for the lease term and operating lease liabilities represent the obligation to make lease payments. These assets and liabilities are recognized based on the present value of future payments over the lease term at the commencement date. We generally use a collateralized incremental borrowing rate based on information available at the commencement date, including the lease term, in determining the present value of future payments. When determining our right-of-use asset, we generally do not include options to extend or terminate the lease unless it is reasonably certain that the option will be exercised.</w:t>
      </w:r>
    </w:p>
    <w:p>
      <w:pPr>
        <w:spacing w:after="0" w:line="1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leases typically require payment of real estate taxes and common area maintenance and insurance. These components comprise the majority of our variable lease cost and are excluded from the present value of our lease obligations. Fixed payments may contain predetermined fixed rent escalations. We recognize the related rent expense on a straight-line basis from the commencement date to the end of the lease term.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supplemental balance sheet information related to our leases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Sheet Location</w:t>
            </w:r>
          </w:p>
        </w:tc>
        <w:tc>
          <w:tcPr>
            <w:tcW w:w="160" w:type="dxa"/>
            <w:vAlign w:val="bottom"/>
          </w:tcPr>
          <w:p>
            <w:pPr>
              <w:spacing w:after="0"/>
              <w:rPr>
                <w:sz w:val="20"/>
                <w:szCs w:val="20"/>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 2022</w:t>
            </w:r>
          </w:p>
        </w:tc>
        <w:tc>
          <w:tcPr>
            <w:tcW w:w="18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September 30, 2021</w:t>
            </w:r>
          </w:p>
        </w:tc>
      </w:tr>
      <w:tr>
        <w:trPr>
          <w:trHeight w:val="210"/>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29"/>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5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15,684</w:t>
            </w:r>
          </w:p>
        </w:tc>
      </w:tr>
      <w:tr>
        <w:trPr>
          <w:trHeight w:val="248"/>
        </w:trPr>
        <w:tc>
          <w:tcPr>
            <w:tcW w:w="2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assets</w:t>
            </w:r>
          </w:p>
        </w:tc>
        <w:tc>
          <w:tcPr>
            <w:tcW w:w="5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15,684</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2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30"/>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r>
      <w:tr>
        <w:trPr>
          <w:trHeight w:val="230"/>
        </w:trPr>
        <w:tc>
          <w:tcPr>
            <w:tcW w:w="2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18,368</w:t>
            </w:r>
          </w:p>
        </w:tc>
      </w:tr>
      <w:tr>
        <w:trPr>
          <w:trHeight w:val="223"/>
        </w:trPr>
        <w:tc>
          <w:tcPr>
            <w:tcW w:w="2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21,001</w:t>
            </w:r>
          </w:p>
        </w:tc>
      </w:tr>
      <w:tr>
        <w:trPr>
          <w:trHeight w:val="20"/>
        </w:trPr>
        <w:tc>
          <w:tcPr>
            <w:tcW w:w="22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were the components of our lease cost which is recorded in both cost of goods sold and selling, general and administrative expense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Year ended</w:t>
            </w:r>
          </w:p>
        </w:tc>
        <w:tc>
          <w:tcPr>
            <w:tcW w:w="200" w:type="dxa"/>
            <w:vAlign w:val="bottom"/>
          </w:tcPr>
          <w:p>
            <w:pPr>
              <w:spacing w:after="0"/>
              <w:rPr>
                <w:sz w:val="18"/>
                <w:szCs w:val="18"/>
                <w:color w:val="auto"/>
              </w:rPr>
            </w:pPr>
          </w:p>
        </w:tc>
        <w:tc>
          <w:tcPr>
            <w:tcW w:w="18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Year ended</w:t>
            </w:r>
          </w:p>
        </w:tc>
      </w:tr>
      <w:tr>
        <w:trPr>
          <w:trHeight w:val="24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Statement of Operations Location</w:t>
            </w:r>
          </w:p>
        </w:tc>
        <w:tc>
          <w:tcPr>
            <w:tcW w:w="200" w:type="dxa"/>
            <w:vAlign w:val="bottom"/>
          </w:tcPr>
          <w:p>
            <w:pPr>
              <w:spacing w:after="0"/>
              <w:rPr>
                <w:sz w:val="21"/>
                <w:szCs w:val="21"/>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200" w:type="dxa"/>
            <w:vAlign w:val="bottom"/>
          </w:tcPr>
          <w:p>
            <w:pPr>
              <w:spacing w:after="0"/>
              <w:rPr>
                <w:sz w:val="21"/>
                <w:szCs w:val="21"/>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September 30, 2021</w:t>
            </w:r>
          </w:p>
        </w:tc>
      </w:tr>
      <w:tr>
        <w:trPr>
          <w:trHeight w:val="218"/>
        </w:trPr>
        <w:tc>
          <w:tcPr>
            <w:tcW w:w="4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 and SG&amp;A</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w:t>
            </w:r>
          </w:p>
        </w:tc>
      </w:tr>
      <w:tr>
        <w:trPr>
          <w:trHeight w:val="229"/>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 and SG&amp;A</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34"/>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 and SG&amp;A</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4,725</w:t>
            </w:r>
          </w:p>
        </w:tc>
      </w:tr>
      <w:tr>
        <w:trPr>
          <w:trHeight w:val="20"/>
        </w:trPr>
        <w:tc>
          <w:tcPr>
            <w:tcW w:w="4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-633730</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-334010</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620"/>
            <w:col w:w="90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9. LEASES (CONTINUED)</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05"/>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related to operating leases (in thousands):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46"/>
        </w:trPr>
        <w:tc>
          <w:tcPr>
            <w:tcW w:w="7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6"/>
              </w:rPr>
              <w:t>Year ended</w:t>
            </w:r>
          </w:p>
        </w:tc>
        <w:tc>
          <w:tcPr>
            <w:tcW w:w="120" w:type="dxa"/>
            <w:vAlign w:val="bottom"/>
          </w:tcPr>
          <w:p>
            <w:pPr>
              <w:spacing w:after="0"/>
              <w:rPr>
                <w:sz w:val="24"/>
                <w:szCs w:val="24"/>
                <w:color w:val="auto"/>
              </w:rPr>
            </w:pPr>
          </w:p>
        </w:tc>
        <w:tc>
          <w:tcPr>
            <w:tcW w:w="1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Year ended</w:t>
            </w:r>
          </w:p>
        </w:tc>
      </w:tr>
      <w:tr>
        <w:trPr>
          <w:trHeight w:val="234"/>
        </w:trPr>
        <w:tc>
          <w:tcPr>
            <w:tcW w:w="7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12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September 30, 2021</w:t>
            </w:r>
          </w:p>
        </w:tc>
      </w:tr>
      <w:tr>
        <w:trPr>
          <w:trHeight w:val="223"/>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8"/>
              </w:rPr>
              <w:t>2,707</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3,785</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tenant improvement allowance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8"/>
              </w:rPr>
              <w:t>1,000</w:t>
            </w:r>
          </w:p>
        </w:tc>
      </w:tr>
      <w:tr>
        <w:trPr>
          <w:trHeight w:val="405"/>
        </w:trPr>
        <w:tc>
          <w:tcPr>
            <w:tcW w:w="7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September 30, 2022</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years</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rPr>
              <w:t>2.86 %</w:t>
            </w:r>
          </w:p>
        </w:tc>
      </w:tr>
    </w:tbl>
    <w:p>
      <w:pPr>
        <w:spacing w:after="0" w:line="247" w:lineRule="exact"/>
        <w:rPr>
          <w:sz w:val="20"/>
          <w:szCs w:val="20"/>
          <w:color w:val="auto"/>
        </w:rPr>
      </w:pPr>
    </w:p>
    <w:p>
      <w:pPr>
        <w:ind w:right="320"/>
        <w:spacing w:after="0" w:line="273"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as well as all the remaining years to the operating lease liabilities recorded on the Consolidated Balance Sheet as of September 30, 2022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Fiscal year</w:t>
            </w:r>
          </w:p>
        </w:tc>
        <w:tc>
          <w:tcPr>
            <w:tcW w:w="400" w:type="dxa"/>
            <w:vAlign w:val="bottom"/>
          </w:tcPr>
          <w:p>
            <w:pPr>
              <w:spacing w:after="0"/>
              <w:rPr>
                <w:sz w:val="20"/>
                <w:szCs w:val="20"/>
                <w:color w:val="auto"/>
              </w:rPr>
            </w:pPr>
          </w:p>
        </w:tc>
        <w:tc>
          <w:tcPr>
            <w:tcW w:w="15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Amount</w:t>
            </w:r>
          </w:p>
        </w:tc>
      </w:tr>
      <w:tr>
        <w:trPr>
          <w:trHeight w:val="223"/>
        </w:trPr>
        <w:tc>
          <w:tcPr>
            <w:tcW w:w="9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r>
      <w:tr>
        <w:trPr>
          <w:trHeight w:val="230"/>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w:t>
            </w:r>
          </w:p>
        </w:tc>
      </w:tr>
      <w:tr>
        <w:trPr>
          <w:trHeight w:val="229"/>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w:t>
            </w:r>
          </w:p>
        </w:tc>
      </w:tr>
      <w:tr>
        <w:trPr>
          <w:trHeight w:val="230"/>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r>
      <w:tr>
        <w:trPr>
          <w:trHeight w:val="229"/>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29"/>
        </w:trPr>
        <w:tc>
          <w:tcPr>
            <w:tcW w:w="9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7,224</w:t>
            </w:r>
          </w:p>
        </w:tc>
      </w:tr>
      <w:tr>
        <w:trPr>
          <w:trHeight w:val="223"/>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22,356</w:t>
            </w:r>
          </w:p>
        </w:tc>
      </w:tr>
      <w:tr>
        <w:trPr>
          <w:trHeight w:val="230"/>
        </w:trPr>
        <w:tc>
          <w:tcPr>
            <w:tcW w:w="9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w:t>
            </w:r>
          </w:p>
        </w:tc>
      </w:tr>
      <w:tr>
        <w:trPr>
          <w:trHeight w:val="248"/>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reported lease liability</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20,174</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RESTRUCTURING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Restructuring</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October 7, 2020, our Board of Directors approved a reorganization of our IoT Products &amp; Services business segment. The restructuring plan aligns the business segment's organization around product lines. Under this plan, we recorded a charge of $0.7 million for employee termination charges and eliminated 19 employment positions primarily in the U.S. during the three months ended December 31, 2020. In the second quarter of fiscal 2021 we recorded an additional $0.2 million related to this restructuring. In the third quarter of fiscal 2021 we recorded an additional $0.1 million related to this restructuring. The charges relating to this restructuring were fully paid during the fourth quarter of fiscal 2021.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Restructuring</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second quarter of fiscal 2020, we recorded and re-aligned our product management group within IoT Products &amp; Services segment and eliminated two employment positions. We recorded $38 thousand for employee termination charges. This was fully paid during the second quarter of fiscal 2020.</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of fiscal 2020, we recorded $95 thousand of restructuring for employee termination charges primarily within our IoT Solutions segment.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resulted in the elimination of 22 employment positions. This restructuring was completed in the fourth quarter of fiscal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RESTRUCTURING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restructuring charges and other activity within the restructuring accrual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280" w:type="dxa"/>
            <w:vAlign w:val="bottom"/>
          </w:tcPr>
          <w:p>
            <w:pPr>
              <w:spacing w:after="0"/>
              <w:rPr>
                <w:sz w:val="20"/>
                <w:szCs w:val="20"/>
                <w:color w:val="auto"/>
              </w:rPr>
            </w:pPr>
          </w:p>
        </w:tc>
        <w:tc>
          <w:tcPr>
            <w:tcW w:w="168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w w:val="99"/>
              </w:rPr>
              <w:t>2021 Restructuring</w:t>
            </w:r>
          </w:p>
        </w:tc>
        <w:tc>
          <w:tcPr>
            <w:tcW w:w="40" w:type="dxa"/>
            <w:vAlign w:val="bottom"/>
          </w:tcPr>
          <w:p>
            <w:pPr>
              <w:spacing w:after="0"/>
              <w:rPr>
                <w:sz w:val="20"/>
                <w:szCs w:val="20"/>
                <w:color w:val="auto"/>
              </w:rPr>
            </w:pPr>
          </w:p>
        </w:tc>
        <w:tc>
          <w:tcPr>
            <w:tcW w:w="164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auto"/>
              </w:rPr>
              <w:t>2020 Restructuring</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62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center"/>
              <w:ind w:right="312"/>
              <w:spacing w:after="0" w:line="167" w:lineRule="exact"/>
              <w:rPr>
                <w:sz w:val="20"/>
                <w:szCs w:val="20"/>
                <w:color w:val="auto"/>
              </w:rPr>
            </w:pPr>
            <w:r>
              <w:rPr>
                <w:rFonts w:ascii="Times New Roman" w:cs="Times New Roman" w:eastAsia="Times New Roman" w:hAnsi="Times New Roman"/>
                <w:sz w:val="17"/>
                <w:szCs w:val="17"/>
                <w:color w:val="auto"/>
              </w:rPr>
              <w:t>Employee</w:t>
            </w:r>
          </w:p>
        </w:tc>
        <w:tc>
          <w:tcPr>
            <w:tcW w:w="1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72"/>
              <w:spacing w:after="0" w:line="167" w:lineRule="exact"/>
              <w:rPr>
                <w:sz w:val="20"/>
                <w:szCs w:val="20"/>
                <w:color w:val="auto"/>
              </w:rPr>
            </w:pPr>
            <w:r>
              <w:rPr>
                <w:rFonts w:ascii="Times New Roman" w:cs="Times New Roman" w:eastAsia="Times New Roman" w:hAnsi="Times New Roman"/>
                <w:sz w:val="17"/>
                <w:szCs w:val="17"/>
                <w:color w:val="auto"/>
              </w:rPr>
              <w:t>Employee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19"/>
                <w:szCs w:val="19"/>
                <w:color w:val="auto"/>
              </w:rPr>
            </w:pPr>
          </w:p>
        </w:tc>
        <w:tc>
          <w:tcPr>
            <w:tcW w:w="168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w w:val="99"/>
              </w:rPr>
              <w:t>Termination Costs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Termination Costs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30, 2019</w:t>
            </w:r>
          </w:p>
        </w:tc>
        <w:tc>
          <w:tcPr>
            <w:tcW w:w="400" w:type="dxa"/>
            <w:vAlign w:val="bottom"/>
            <w:tcBorders>
              <w:top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charge</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Reversals</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3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fluctuation</w:t>
            </w: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September 30, 2020</w:t>
            </w:r>
          </w:p>
        </w:tc>
        <w:tc>
          <w:tcPr>
            <w:tcW w:w="4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Restructuring charge</w:t>
            </w: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(935)</w:t>
            </w:r>
          </w:p>
        </w:tc>
        <w:tc>
          <w:tcPr>
            <w:tcW w:w="0" w:type="dxa"/>
            <w:vAlign w:val="bottom"/>
          </w:tcPr>
          <w:p>
            <w:pPr>
              <w:spacing w:after="0"/>
              <w:rPr>
                <w:sz w:val="1"/>
                <w:szCs w:val="1"/>
                <w:color w:val="auto"/>
              </w:rPr>
            </w:pPr>
          </w:p>
        </w:tc>
      </w:tr>
      <w:tr>
        <w:trPr>
          <w:trHeight w:val="23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Reversals</w:t>
            </w: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6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currency fluctuation</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52"/>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30, 2021</w:t>
            </w:r>
          </w:p>
        </w:tc>
        <w:tc>
          <w:tcPr>
            <w:tcW w:w="400" w:type="dxa"/>
            <w:vAlign w:val="bottom"/>
            <w:tcBorders>
              <w:top w:val="single" w:sz="8" w:color="auto"/>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11. REVENUE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6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Disaggregation</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revenue by geographic location of our customers:</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8"/>
          </w:tcPr>
          <w:p>
            <w:pPr>
              <w:jc w:val="right"/>
              <w:ind w:right="90"/>
              <w:spacing w:after="0"/>
              <w:rPr>
                <w:sz w:val="20"/>
                <w:szCs w:val="20"/>
                <w:color w:val="auto"/>
              </w:rPr>
            </w:pPr>
            <w:r>
              <w:rPr>
                <w:rFonts w:ascii="Times New Roman" w:cs="Times New Roman" w:eastAsia="Times New Roman" w:hAnsi="Times New Roman"/>
                <w:sz w:val="18"/>
                <w:szCs w:val="18"/>
                <w:color w:val="auto"/>
              </w:rPr>
              <w:t>Year ended September 30,</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7"/>
                <w:szCs w:val="17"/>
                <w:color w:val="auto"/>
              </w:rPr>
              <w:t>2021</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 primarily the United States</w:t>
            </w:r>
          </w:p>
        </w:tc>
        <w:tc>
          <w:tcPr>
            <w:tcW w:w="7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302,409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&amp; Africa</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4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32,204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34,685</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388,225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308,632</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our revenue by the timing of revenue recognition:</w:t>
            </w: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6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8"/>
          </w:tcPr>
          <w:p>
            <w:pPr>
              <w:jc w:val="right"/>
              <w:ind w:right="90"/>
              <w:spacing w:after="0"/>
              <w:rPr>
                <w:sz w:val="20"/>
                <w:szCs w:val="20"/>
                <w:color w:val="auto"/>
              </w:rPr>
            </w:pPr>
            <w:r>
              <w:rPr>
                <w:rFonts w:ascii="Times New Roman" w:cs="Times New Roman" w:eastAsia="Times New Roman" w:hAnsi="Times New Roman"/>
                <w:sz w:val="18"/>
                <w:szCs w:val="18"/>
                <w:color w:val="auto"/>
              </w:rPr>
              <w:t>Year ended September 30,</w:t>
            </w:r>
          </w:p>
        </w:tc>
        <w:tc>
          <w:tcPr>
            <w:tcW w:w="1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70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302,535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274,960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over time</w:t>
            </w:r>
          </w:p>
        </w:tc>
        <w:tc>
          <w:tcPr>
            <w:tcW w:w="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85,690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33,672</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388,225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308,632</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Contract assets consist of subscriber assets. These subscriber assets relate to fees in certain contracts that we charge our customers so they can begin using equipment. In these cases, we retain the ownership of the equipment that the customer uses. The total net book value of subscriber assets of $16.5 million and $1.9 million as of September 30, 2022 and September 30, 2021, respectively, are included in property, equipment and improvements, net. The September 30, 2022 balance includes $14.7 million acquired in the acquisition of Ventus. Depreciation expense for these subscriber assets, which is included in cost of sales, was $3.2 million and $1.9 million for the year ended September 30, 2022 and September 30, 2021, respectively. We depreciate the cost of this equipment over its useful life.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REVENUE (CONTINUED)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18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Customers are invoiced for subscription services on a monthly, quarterly or annual basis. Contract liabilities consist of unearned revenue related to annual or multi-year contracts for subscription services and related implementation fees, as well as product sales that have been invoiced, but not yet fulfilled.</w:t>
      </w:r>
    </w:p>
    <w:p>
      <w:pPr>
        <w:spacing w:after="0" w:line="1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Our contract liabilities were $21.6 million and $15.5 million at September 30, 2022 and 2021, respectively. The September 30, 2022 balance includes $2.1 million assumed from the Ventus acquisition completed in November 2021.</w:t>
      </w:r>
    </w:p>
    <w:p>
      <w:pPr>
        <w:spacing w:after="0" w:line="13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Of the $15.5 million and $9.3 million balances as of September 30, 2021 and 2020, Digi recognized $13.2 million and $7.5 million in the year ended September 30, 2022 and 2021,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Transaction Price</w:t>
      </w:r>
    </w:p>
    <w:p>
      <w:pPr>
        <w:spacing w:after="0" w:line="20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Transaction price allocated to the remaining performance obligations represents contracted revenue that has not been recognized, which includes unearned revenue and unbilled amounts that will be recognized as revenue in future periods. As of September 30, 2022 approximately $21.6 million of revenue is expected to be recognized from remaining performance obligations for subscriptions contracts. We expect to recognize revenue on approximately $19.8 million of remaining performance obligations over the next twelve months. Revenue from the remaining performance obligations we expect to recognize over a range of two years to five years.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 INCOME TAXES</w:t>
            </w: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income before income taxes are (in thousands):</w:t>
            </w: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jc w:val="center"/>
              <w:ind w:left="650"/>
              <w:spacing w:after="0"/>
              <w:rPr>
                <w:sz w:val="20"/>
                <w:szCs w:val="20"/>
                <w:color w:val="auto"/>
              </w:rPr>
            </w:pPr>
            <w:r>
              <w:rPr>
                <w:rFonts w:ascii="Times New Roman" w:cs="Times New Roman" w:eastAsia="Times New Roman" w:hAnsi="Times New Roman"/>
                <w:sz w:val="18"/>
                <w:szCs w:val="18"/>
                <w:color w:val="auto"/>
                <w:w w:val="99"/>
              </w:rPr>
              <w:t>Year ended September 30,</w:t>
            </w: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6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income tax benefit are (in thousands):</w:t>
            </w: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200" w:type="dxa"/>
            <w:vAlign w:val="bottom"/>
            <w:gridSpan w:val="2"/>
            <w:vMerge w:val="continue"/>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jc w:val="center"/>
              <w:ind w:left="630"/>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98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6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1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12. INCOME TAXES (CONTINUED)</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05"/>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liability consists of (in thousands):</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8"/>
        </w:trPr>
        <w:tc>
          <w:tcPr>
            <w:tcW w:w="7840" w:type="dxa"/>
            <w:vAlign w:val="bottom"/>
          </w:tcPr>
          <w:p>
            <w:pPr>
              <w:spacing w:after="0"/>
              <w:rPr>
                <w:sz w:val="24"/>
                <w:szCs w:val="24"/>
                <w:color w:val="auto"/>
              </w:rPr>
            </w:pPr>
          </w:p>
        </w:tc>
        <w:tc>
          <w:tcPr>
            <w:tcW w:w="276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As of September 30,</w:t>
            </w:r>
          </w:p>
        </w:tc>
        <w:tc>
          <w:tcPr>
            <w:tcW w:w="640" w:type="dxa"/>
            <w:vAlign w:val="bottom"/>
            <w:tcBorders>
              <w:bottom w:val="single" w:sz="8" w:color="auto"/>
            </w:tcBorders>
          </w:tcPr>
          <w:p>
            <w:pPr>
              <w:spacing w:after="0"/>
              <w:rPr>
                <w:sz w:val="24"/>
                <w:szCs w:val="24"/>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4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deferred tax asset</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deferred tax liability</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1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(13,493)</w:t>
            </w:r>
          </w:p>
        </w:tc>
      </w:tr>
      <w:tr>
        <w:trPr>
          <w:trHeight w:val="248"/>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(13,054)</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asset</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costs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accruals</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6,387</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(24,308)</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(24,959)</w:t>
            </w:r>
          </w:p>
        </w:tc>
      </w:tr>
      <w:tr>
        <w:trPr>
          <w:trHeight w:val="223"/>
        </w:trPr>
        <w:tc>
          <w:tcPr>
            <w:tcW w:w="7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(13,054)</w:t>
            </w:r>
          </w:p>
        </w:tc>
      </w:tr>
      <w:tr>
        <w:trPr>
          <w:trHeight w:val="21"/>
        </w:trPr>
        <w:tc>
          <w:tcPr>
            <w:tcW w:w="7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we had $3.0 million of tax carryforwards (net of reserves) related to state research and development tax credits. We also had</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$0.5 million of carryforwards consisting of a U.S. net operating losses of $0.2 million, non-U.S. net operating losses of $0.2 million and foreign tax credits of $0.1 million. The majority of our state research and development tax credits have a 15-year carryforward period. The majority of our non-U.S. net operating losses have an unlimited carryforward period. Our non-U.S. tax credit carryforwards will expire in 2034.Our valuation allowance for certain U.S. and foreign locations was $3.0 million at September 30, 2022 and $2.2 million at September 30, 2021. The increase in valuation allowance is primarily the result of additional reserves against R&amp;D credits. The deferred tax assets realized could vary if there are differences in the timing or amount of future reversals of existing deferred tax liabilities or changes in the amounts of future taxable income. If future taxable income projections are not realized, an additional valuation allowance may be required. This would be reflected as income tax expense at the time that any such change in future taxable income is determined.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INCOME TAXES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the statutory federal income tax amount to our income tax benefit is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Year ended September 30,</w:t>
            </w:r>
          </w:p>
        </w:tc>
        <w:tc>
          <w:tcPr>
            <w:tcW w:w="1060" w:type="dxa"/>
            <w:vAlign w:val="bottom"/>
            <w:tcBorders>
              <w:bottom w:val="single" w:sz="8" w:color="auto"/>
            </w:tcBorders>
          </w:tcPr>
          <w:p>
            <w:pPr>
              <w:spacing w:after="0"/>
              <w:rPr>
                <w:sz w:val="20"/>
                <w:szCs w:val="20"/>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income tax amount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resulting from:</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taxes, net of federal benefits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Loss Expiration</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Utilization of research and development tax credits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balance sheet remeasure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ASU 2016-09 excess stock compensation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3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from provision to return</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 of tax contingency reserves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9"/>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deduction for foreign export sales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29"/>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Year ended September 30,</w:t>
            </w:r>
          </w:p>
        </w:tc>
        <w:tc>
          <w:tcPr>
            <w:tcW w:w="100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beginning of fiscal year</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2,908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w:t>
            </w:r>
          </w:p>
        </w:tc>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Prior year income tax positions</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year income tax positions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 year income tax positions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Expiration of statute of limitations</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at end of fiscal year</w:t>
            </w: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total amount of unrecognized tax benefits ("UTB") at September 30, 2022 that, if recognized, would affect our effective tax rate was $3.3 million. We expect that it is reasonably possible that the total amounts of UTB will decrease by approximately $0.3 million over the next 12 months due to the expiration of various statutes of limitations. Of the $3.3 million of UTB, $2.4 million is included in non-current income taxes payable and $0.9 million is included with non-current deferred tax liabilities on the consolidated balance sheets at September 30, 2022.</w:t>
      </w:r>
    </w:p>
    <w:p>
      <w:pPr>
        <w:spacing w:after="0" w:line="15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recognize interest and penalties related to income tax matters in income tax expense. During fiscal 2022 and 2021, there were insignificant amounts of interest and penalties related to income tax matters in income tax expense. We accrued $0.1 million in interest and no penalties related to unrecognized tax benefits as of September 30, 2022 and 2021. These accrued interest and penalties are included in our non-current income taxes payable on our consolidated balance sheets.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INCOME TAXES (CONTINUED)</w:t>
      </w:r>
    </w:p>
    <w:p>
      <w:pPr>
        <w:spacing w:after="0" w:line="19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operate in multiple tax jurisdictions both in the U.S. and outside of the U.S. and face audits from various tax authorities regarding transfer pricing, tax credits, and other matters. Accordingly we must determine the appropriate allocation of income to each of these jurisdictions. This determination requires us to make several estimates and assumptions. Tax audits associated with the allocation of this income, and other complex issues, may require an extended period of time to resolve and may result in adjustments to our income tax balances in those years that are material to our consolidated balance sheets and results of operations.</w:t>
      </w:r>
    </w:p>
    <w:p>
      <w:pPr>
        <w:spacing w:after="0" w:line="143"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We file a U.S. federal income tax return and income tax returns in various states and foreign jurisdictions. With few exceptions, we are no longer subject to state and local or non-U.S. income tax examinations by tax authorities for years before fiscal year 2018. We are currently under U.S. federal examination for fiscal years 2018, and there is otherwise very limited audit activity of our income tax returns in U.S. state jurisdictions or international jurisdictions.</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At September 30, 2022, the majority of undistributed foreign earnings are taxed under the one time transition tax and the global intangible low-taxed income ("GILTI") provision of the Tax Cuts and Jobs Act of 2017. Additionally, the previously un-taxed accumulated undistributed foreign earnings from prior fiscal years are still permanently reinvested and, as such, we have not accrued additional U.S. tax. It is our position that the earnings of our foreign subsidiaries are to be reinvested indefinitely to fund current operations and provide for future international expansion opportunities and only repatriate earnings to the extent that U.S. taxes have already been recorded. As of September 30, 2022, we are permanently reinvested with respect to previously non-taxed accumulated earnings in all jurisdictions.</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Although we have no current need to repatriate historical foreign earnings that have not been taxed in the U.S., if we change our assertion from indefinitely reinvesting undistributed foreign earnings, we would have to accrue applicable taxes. The amount of any taxes and the application of any tax credits would be determined based on the income tax laws at the time of such repatriation. Under current tax law, we estimate the unrecognized tax liability to be immaterial.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STOCKHOLDERS' EQUITY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 of Common Stock</w:t>
      </w:r>
    </w:p>
    <w:p>
      <w:pPr>
        <w:spacing w:after="0" w:line="254"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During March 2021 we sold 4,025,000 shares of our common stock at a public offering price of $19.50 per share. The shares offered were registered pursuant to a registration statement that we filed with the Securities and Exchange Commission. We received net proceeds of $73.8 million, net of transaction expenses of $0.3 million related to the public offering.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w:t>
      </w:r>
    </w:p>
    <w:p>
      <w:pPr>
        <w:spacing w:after="0" w:line="19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Stock-based awards were granted under the amended and restated 2021 Omnibus Incentive Plan (the "Amended Plan") beginning January 29, 2022. Prior to that date, such awards made in fiscal 2022 were granted under the 2021 Omnibus Incentive Plan (the "2021 Plan"). Upon stockholder approval of the Amended Plan, we ceased granting awards under the 2021 Plan. Shares subject to awards under the 2021 Plan or any prior plans that are forfeited, canceled, returned to us for failure to satisfy vesting requirements, settled in cash or otherwise terminated without payment also will be available for grant under the Amended Plan. The authority to grant options under the Amended Plan and set other terms and conditions rests with the Compensation Committee of the Board of Directors.</w:t>
      </w:r>
    </w:p>
    <w:p>
      <w:pPr>
        <w:spacing w:after="0" w:line="14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Amended Plan authorizes the issuance of up to 2,400,000 common shares in connection with awards of stock options, stock appreciation rights, restricted stock, restricted stock units, performance-based full value awards or other stock-based awards. Eligible participants include our employees, our affiliates, non-employee directors of our Company and any consultant or advisor who is a natural person and provides services to us or our affiliates. Options that have been granted under the Amended Plan typically vest over a four-year period and will expire if unexercised after seven years from the date of grant. Restricted stock unit awards ("RSUs") that have been granted to directors typically vest in one year. RSUs that have been granted to executives and employees typically vest in January over a four-year period. Performance stock unit awards ("PSUs") that have been granted to an executive will vest based on achievement of a cumulative adjusted earnings per share metric measured over a three-year period. Share-based compensation expenses recorded for this performance award is reevaluated at each reporting period based on the probability of achievement of the goal. The Amended Plan is scheduled to expire on January 28, 2032. Options under the Amended Plan can be granted as either incentive stock options or non-statutory stock options. The exercise price of options and the grant date price of RSUs and PSUs is determined by our Compensation Committee but will not be less than the fair market value of our common stock based on the closing price as of the date of grant. Upon exercise of options or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 (CONTINUED)</w:t>
      </w:r>
    </w:p>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settlement of vested restricted stock units or performance stock units, we issue new shares of stock. As of September 30, 2022, there were approximately 1,793,203 shares available for future grants under the Amended Plan.</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2021 Plan, under which grants ceased upon approval of the Amended Plan, authorized the issuance of up to 1,400,000 common shares in connection with awards of stock options, stock appreciation rights, restricted stock, restricted stock units, performance-based full value awards or other stock-based awards. Eligible participants included our employees, our affiliates, non-employee directors of our Company and any consultant or advisor who is a natural person and provided services to us or our affiliates. Options that have been granted under the 2021 Plan typically vested over a four-year period and expired if unexercised after seven years from the date of grant. Restricted stock unit awards ("RSUs") that were granted to directors typically vested in one year. RSUs that were granted to executives and employees typically vested in January over a four-year period. Awards may no longer be granted under the 2021 Plan as grants ceased upon approval of the Amended Plan effective January 29, 2022 at the Annual Meeting of Stockholders. The exercise price of options and the grant date price of restricted stock units was determined by our Compensation Committee but could be less than the fair market value of our common stock based on the closing price on the date of grant.</w:t>
      </w:r>
    </w:p>
    <w:p>
      <w:pPr>
        <w:spacing w:after="0" w:line="14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Cash received from the exercise of stock options was $9.5 million, $8.5 million and $5.9 million for the year ended September 30, 2022, 2021 and 2020, respectively. Our stock option plans allow the net exercise of options. Shares with a value of $4.3 million were forfeited to satisfy tax withholding for the year ended September 30, 2022, and no amounts were forfeited in fiscal 2021 or 2020.</w:t>
      </w:r>
    </w:p>
    <w:p>
      <w:pPr>
        <w:spacing w:after="0" w:line="149"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Our equity plans and corresponding forms of award agreements generally have provisions allowing employees to elect to satisfy tax withholding obligations through the delivery of shares, having us retain a portion of shares issuable under the award or paying cash to us for the withholding. During fiscal 2022, 2021 and 2020 our employees forfeited 102,392, 116,195 and 103,492 shares, respectively in order to satisfy $2.4 million, $2.1 million and $1.8 million, respectively, of withholding tax obligations related to stock-based compensation, pursuant to terms of awards under our board and shareholder-approved compensation plans.</w:t>
      </w:r>
    </w:p>
    <w:p>
      <w:pPr>
        <w:spacing w:after="0" w:line="1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sponsor an Employee Stock Purchase Plan, as amended and restated as of December 10, 2019 (the "Purchase Plan"), covering all domestic employees with at least 90 days of continuous service and who are customarily employed at least 20 hours per week. The Purchase Plan allows eligible participants the right to purchase common stock on a quarterly basis at the lower of 85% of the market price at the beginning or end of each three-month offering period. The most recent amendments to the Purchase Plan, ratified by our stockholders on January 29, 2020, increased the total number of shares to 3,425,000 that may be purchased under the plan. Employee contributions to the Purchase Plan were $1.5 million, $1.2 million and $1.1 million in fiscal 2022, 2021 and 2020, respectively. Pursuant to the Purchase Plan, 80,225, 78,644, and 117,826 shares of common stock were issued to employees during fiscal 2022, 2021 and 2020, respectively. Shares are issued under the Purchase Plan from treasury stock. As of September 30, 2022, 552,848 shares of common stock were available for future issuances under the Purchase Plan.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is included in the consolidated results of operations as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Year ended September 30,</w:t>
            </w:r>
          </w:p>
        </w:tc>
        <w:tc>
          <w:tcPr>
            <w:tcW w:w="100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w:t>
            </w: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w:t>
            </w:r>
          </w:p>
        </w:tc>
      </w:tr>
      <w:tr>
        <w:trPr>
          <w:trHeight w:val="22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before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48"/>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after income taxes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Below is a summary of our stock options as of September 30, 2022 and changes during the twelve months then ended (in thousands, except per common share amounts):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7"/>
                <w:szCs w:val="17"/>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Options</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60" w:type="dxa"/>
            <w:vAlign w:val="bottom"/>
          </w:tcPr>
          <w:p>
            <w:pPr>
              <w:spacing w:after="0"/>
              <w:rPr>
                <w:sz w:val="17"/>
                <w:szCs w:val="17"/>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8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Contractual Term (in</w:t>
            </w:r>
          </w:p>
        </w:tc>
        <w:tc>
          <w:tcPr>
            <w:tcW w:w="120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Intrinsic Value</w:t>
            </w:r>
          </w:p>
        </w:tc>
        <w:tc>
          <w:tcPr>
            <w:tcW w:w="0" w:type="dxa"/>
            <w:vAlign w:val="bottom"/>
          </w:tcPr>
          <w:p>
            <w:pPr>
              <w:spacing w:after="0"/>
              <w:rPr>
                <w:sz w:val="1"/>
                <w:szCs w:val="1"/>
                <w:color w:val="auto"/>
              </w:rPr>
            </w:pPr>
          </w:p>
        </w:tc>
      </w:tr>
      <w:tr>
        <w:trPr>
          <w:trHeight w:val="239"/>
        </w:trPr>
        <w:tc>
          <w:tcPr>
            <w:tcW w:w="5200" w:type="dxa"/>
            <w:vAlign w:val="bottom"/>
          </w:tcPr>
          <w:p>
            <w:pPr>
              <w:spacing w:after="0"/>
              <w:rPr>
                <w:sz w:val="20"/>
                <w:szCs w:val="20"/>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Outstanding</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Exercise Price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years)</w:t>
            </w:r>
          </w:p>
        </w:tc>
        <w:tc>
          <w:tcPr>
            <w:tcW w:w="16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7"/>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 Canceled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on June 30,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5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June30, 2022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846,530</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right="260" w:hanging="332"/>
        <w:spacing w:after="0" w:line="282" w:lineRule="auto"/>
        <w:tabs>
          <w:tab w:leader="none" w:pos="2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represents the total pre-tax intrinsic value, based on our closing stock price of $33.54 as of September 30, 2022, which would have been received by the option holders had all option holders exercised their options as of that date.</w:t>
      </w:r>
    </w:p>
    <w:p>
      <w:pPr>
        <w:spacing w:after="0" w:line="13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intrinsic value of an option is the amount by which the fair value of the underlying stock exceeds its exercise price. The total intrinsic value of all options exercised during each of the twelve months ended September 30, 2022, 2021 and 2020 was $20.3 million, $6.5 million and $3.7 million,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shows the weighted average fair value, which was determined based upon the fair value of each option on the grant date utilizing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Black-Scholes option-pricing model and the related assumptions: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Year ended September 30,</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23"/>
        </w:trPr>
        <w:tc>
          <w:tcPr>
            <w:tcW w:w="58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per option grant date fair value</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r>
      <w:tr>
        <w:trPr>
          <w:trHeight w:val="23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Assumptions used for option grants:</w:t>
            </w: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Risk free interest rate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0.51% - 1.035%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0.37% - 1.73%</w:t>
            </w:r>
          </w:p>
        </w:tc>
      </w:tr>
      <w:tr>
        <w:trPr>
          <w:trHeight w:val="229"/>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term</w:t>
            </w:r>
          </w:p>
        </w:tc>
        <w:tc>
          <w:tcPr>
            <w:tcW w:w="17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6.00 years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6.00 years</w:t>
            </w:r>
          </w:p>
        </w:tc>
        <w:tc>
          <w:tcPr>
            <w:tcW w:w="200" w:type="dxa"/>
            <w:vAlign w:val="bottom"/>
          </w:tcPr>
          <w:p>
            <w:pPr>
              <w:spacing w:after="0"/>
              <w:rPr>
                <w:sz w:val="19"/>
                <w:szCs w:val="19"/>
                <w:color w:val="auto"/>
              </w:rPr>
            </w:pP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6.00 years</w:t>
            </w:r>
          </w:p>
        </w:tc>
      </w:tr>
      <w:tr>
        <w:trPr>
          <w:trHeight w:val="23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8"/>
              </w:rPr>
              <w:t>44% - 46%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8"/>
              </w:rPr>
              <w:t>36% - 44%</w:t>
            </w:r>
          </w:p>
        </w:tc>
      </w:tr>
      <w:tr>
        <w:trPr>
          <w:trHeight w:val="230"/>
        </w:trPr>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volatility</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6"/>
              </w:rPr>
              <w:t>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36%</w:t>
            </w:r>
          </w:p>
        </w:tc>
      </w:tr>
      <w:tr>
        <w:trPr>
          <w:trHeight w:val="230"/>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0%</w:t>
            </w:r>
          </w:p>
        </w:tc>
      </w:tr>
    </w:tbl>
    <w:p>
      <w:pPr>
        <w:spacing w:after="0" w:line="15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fair value of each option award granted during the periods presented was estimated using the Black-Scholes option valuation model that uses the assumptions noted in the above table. Expected volatilities are based on the historical volatility of our stock. We use historical data to estimate option exercise and employee termination information within the valuation model. The expected term of options granted is derived from the vesting period and historical information and represents the period of time that options granted are expected to be outstanding. The risk-free rate used is the zero-coupon U.S. Treasury bond rate in effect at the time of the grant whose maturity equals the expected term of the option.</w:t>
      </w:r>
    </w:p>
    <w:p>
      <w:pPr>
        <w:spacing w:after="0" w:line="14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September 30, 2022, the total unrecognized compensation cost related to non-vested stock-based compensation arrangements was $7.1 million. The related weighted average period over which this cost is expected to be recognized was approximately 1.8 years.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STOCK-BASED COMPENSATION (CONTINUED)</w:t>
      </w:r>
    </w:p>
    <w:p>
      <w:pPr>
        <w:spacing w:after="0" w:line="19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September 30, 2022, the weighted average exercise price and remaining life of the stock options were (in thousands, except remaining life and exercise price):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8"/>
                <w:szCs w:val="18"/>
                <w:color w:val="auto"/>
              </w:rPr>
              <w:t>Options Outstanding</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color w:val="auto"/>
              </w:rPr>
              <w:t>Options Exercisable</w:t>
            </w:r>
          </w:p>
        </w:tc>
        <w:tc>
          <w:tcPr>
            <w:tcW w:w="0" w:type="dxa"/>
            <w:vAlign w:val="bottom"/>
          </w:tcPr>
          <w:p>
            <w:pPr>
              <w:spacing w:after="0"/>
              <w:rPr>
                <w:sz w:val="1"/>
                <w:szCs w:val="1"/>
                <w:color w:val="auto"/>
              </w:rPr>
            </w:pPr>
          </w:p>
        </w:tc>
      </w:tr>
      <w:tr>
        <w:trPr>
          <w:trHeight w:val="178"/>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120"/>
              <w:spacing w:after="0" w:line="177" w:lineRule="exact"/>
              <w:rPr>
                <w:sz w:val="20"/>
                <w:szCs w:val="20"/>
                <w:color w:val="auto"/>
              </w:rPr>
            </w:pPr>
            <w:r>
              <w:rPr>
                <w:rFonts w:ascii="Times New Roman" w:cs="Times New Roman" w:eastAsia="Times New Roman" w:hAnsi="Times New Roman"/>
                <w:sz w:val="18"/>
                <w:szCs w:val="18"/>
                <w:color w:val="auto"/>
                <w:w w:val="98"/>
              </w:rPr>
              <w:t>Weighted Average</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15"/>
                <w:szCs w:val="15"/>
                <w:color w:val="auto"/>
              </w:rPr>
            </w:pPr>
          </w:p>
        </w:tc>
        <w:tc>
          <w:tcPr>
            <w:tcW w:w="16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8"/>
                <w:szCs w:val="18"/>
                <w:color w:val="auto"/>
                <w:w w:val="98"/>
              </w:rPr>
              <w:t>Remaining</w:t>
            </w: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Weighted Average</w:t>
            </w:r>
          </w:p>
        </w:tc>
        <w:tc>
          <w:tcPr>
            <w:tcW w:w="15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Number of Shares</w:t>
            </w:r>
          </w:p>
        </w:tc>
        <w:tc>
          <w:tcPr>
            <w:tcW w:w="100" w:type="dxa"/>
            <w:vAlign w:val="bottom"/>
          </w:tcPr>
          <w:p>
            <w:pPr>
              <w:spacing w:after="0"/>
              <w:rPr>
                <w:sz w:val="15"/>
                <w:szCs w:val="15"/>
                <w:color w:val="auto"/>
              </w:rPr>
            </w:pPr>
          </w:p>
        </w:tc>
        <w:tc>
          <w:tcPr>
            <w:tcW w:w="15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Weighted Average</w:t>
            </w:r>
          </w:p>
        </w:tc>
        <w:tc>
          <w:tcPr>
            <w:tcW w:w="0" w:type="dxa"/>
            <w:vAlign w:val="bottom"/>
          </w:tcPr>
          <w:p>
            <w:pPr>
              <w:spacing w:after="0"/>
              <w:rPr>
                <w:sz w:val="1"/>
                <w:szCs w:val="1"/>
                <w:color w:val="auto"/>
              </w:rPr>
            </w:pPr>
          </w:p>
        </w:tc>
      </w:tr>
      <w:tr>
        <w:trPr>
          <w:trHeight w:val="176"/>
        </w:trPr>
        <w:tc>
          <w:tcPr>
            <w:tcW w:w="2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Range of Exercise Prices</w:t>
            </w: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Contractual Life (In</w:t>
            </w:r>
          </w:p>
        </w:tc>
        <w:tc>
          <w:tcPr>
            <w:tcW w:w="1620" w:type="dxa"/>
            <w:vAlign w:val="bottom"/>
            <w:gridSpan w:val="3"/>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700" w:type="dxa"/>
            <w:vAlign w:val="bottom"/>
            <w:gridSpan w:val="2"/>
            <w:vMerge w:val="continue"/>
          </w:tcPr>
          <w:p>
            <w:pPr>
              <w:spacing w:after="0"/>
              <w:rPr>
                <w:sz w:val="19"/>
                <w:szCs w:val="19"/>
                <w:color w:val="auto"/>
              </w:rPr>
            </w:pP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Outstanding</w:t>
            </w:r>
          </w:p>
        </w:tc>
        <w:tc>
          <w:tcPr>
            <w:tcW w:w="120" w:type="dxa"/>
            <w:vAlign w:val="bottom"/>
          </w:tcPr>
          <w:p>
            <w:pPr>
              <w:spacing w:after="0"/>
              <w:rPr>
                <w:sz w:val="19"/>
                <w:szCs w:val="19"/>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Years)</w:t>
            </w:r>
          </w:p>
        </w:tc>
        <w:tc>
          <w:tcPr>
            <w:tcW w:w="18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Exercise Price</w:t>
            </w: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Vested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Exercise Price</w:t>
            </w:r>
          </w:p>
        </w:tc>
        <w:tc>
          <w:tcPr>
            <w:tcW w:w="0" w:type="dxa"/>
            <w:vAlign w:val="bottom"/>
          </w:tcPr>
          <w:p>
            <w:pPr>
              <w:spacing w:after="0"/>
              <w:rPr>
                <w:sz w:val="1"/>
                <w:szCs w:val="1"/>
                <w:color w:val="auto"/>
              </w:rPr>
            </w:pPr>
          </w:p>
        </w:tc>
      </w:tr>
      <w:tr>
        <w:trPr>
          <w:trHeight w:val="223"/>
        </w:trPr>
        <w:tc>
          <w:tcPr>
            <w:tcW w:w="2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$7.40 - $11.87</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2.94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$12.48 - $16.75</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4.33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$17.10 - $17.94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4.49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$18.20 - $21.53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6.17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$23.46 - $24.18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6.15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$25.15 - $25.15</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5.27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$33.53 - $33.53</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5"/>
              </w:rPr>
              <w:t>6.85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$7.40 - $33.53</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6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4.67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720"/>
        <w:spacing w:after="0" w:line="453" w:lineRule="auto"/>
        <w:rPr>
          <w:sz w:val="20"/>
          <w:szCs w:val="20"/>
          <w:color w:val="auto"/>
        </w:rPr>
      </w:pPr>
      <w:r>
        <w:rPr>
          <w:rFonts w:ascii="Times New Roman" w:cs="Times New Roman" w:eastAsia="Times New Roman" w:hAnsi="Times New Roman"/>
          <w:sz w:val="18"/>
          <w:szCs w:val="18"/>
          <w:color w:val="auto"/>
        </w:rPr>
        <w:t xml:space="preserve">The total grant date fair value of shares vested was $3.0 million, $2.6 million and $3.7 million in each of fiscal 2022, 2021 and 2020, respectively. </w:t>
      </w:r>
      <w:r>
        <w:rPr>
          <w:rFonts w:ascii="Times New Roman" w:cs="Times New Roman" w:eastAsia="Times New Roman" w:hAnsi="Times New Roman"/>
          <w:sz w:val="18"/>
          <w:szCs w:val="18"/>
          <w:i w:val="1"/>
          <w:iCs w:val="1"/>
          <w:color w:val="auto"/>
        </w:rPr>
        <w:t>Non-vested Stock Units</w:t>
      </w:r>
    </w:p>
    <w:p>
      <w:pPr>
        <w:spacing w:after="0" w:line="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non-vested restricted stock units as of September 30, 2022 and changes during the twelve months then ended (in thousands, except per common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RSUs</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tcBorders>
              <w:bottom w:val="single" w:sz="8" w:color="auto"/>
            </w:tcBorders>
            <w:gridSpan w:val="4"/>
          </w:tcPr>
          <w:p>
            <w:pPr>
              <w:jc w:val="right"/>
              <w:ind w:right="1290"/>
              <w:spacing w:after="0"/>
              <w:rPr>
                <w:sz w:val="20"/>
                <w:szCs w:val="20"/>
                <w:color w:val="auto"/>
              </w:rPr>
            </w:pPr>
            <w:r>
              <w:rPr>
                <w:rFonts w:ascii="Times New Roman" w:cs="Times New Roman" w:eastAsia="Times New Roman" w:hAnsi="Times New Roman"/>
                <w:sz w:val="18"/>
                <w:szCs w:val="18"/>
                <w:color w:val="auto"/>
              </w:rPr>
              <w:t>PSUs</w:t>
            </w:r>
          </w:p>
        </w:tc>
      </w:tr>
      <w:tr>
        <w:trPr>
          <w:trHeight w:val="169"/>
        </w:trPr>
        <w:tc>
          <w:tcPr>
            <w:tcW w:w="4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color w:val="auto"/>
                <w:w w:val="98"/>
              </w:rPr>
              <w:t>Weighted Average</w:t>
            </w:r>
          </w:p>
        </w:tc>
      </w:tr>
      <w:tr>
        <w:trPr>
          <w:trHeight w:val="184"/>
        </w:trPr>
        <w:tc>
          <w:tcPr>
            <w:tcW w:w="48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color w:val="auto"/>
                <w:w w:val="99"/>
              </w:rPr>
              <w:t>Grant Date Fair</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ind w:right="10"/>
              <w:spacing w:after="0" w:line="184" w:lineRule="exact"/>
              <w:rPr>
                <w:sz w:val="20"/>
                <w:szCs w:val="20"/>
                <w:color w:val="auto"/>
              </w:rPr>
            </w:pPr>
            <w:r>
              <w:rPr>
                <w:rFonts w:ascii="Times New Roman" w:cs="Times New Roman" w:eastAsia="Times New Roman" w:hAnsi="Times New Roman"/>
                <w:sz w:val="18"/>
                <w:szCs w:val="18"/>
                <w:color w:val="auto"/>
              </w:rPr>
              <w:t>Grant Date Fair</w:t>
            </w:r>
          </w:p>
        </w:tc>
      </w:tr>
      <w:tr>
        <w:trPr>
          <w:trHeight w:val="234"/>
        </w:trPr>
        <w:tc>
          <w:tcPr>
            <w:tcW w:w="4840" w:type="dxa"/>
            <w:vAlign w:val="bottom"/>
          </w:tcPr>
          <w:p>
            <w:pPr>
              <w:spacing w:after="0"/>
              <w:rPr>
                <w:sz w:val="20"/>
                <w:szCs w:val="20"/>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Number of Awards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Awards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September 30, 2021</w:t>
            </w:r>
          </w:p>
        </w:tc>
        <w:tc>
          <w:tcPr>
            <w:tcW w:w="1520" w:type="dxa"/>
            <w:vAlign w:val="bottom"/>
            <w:tcBorders>
              <w:top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812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6"/>
              </w:rPr>
              <w:t>394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7"/>
              </w:rPr>
              <w:t>(308)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30"/>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52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color w:val="auto"/>
                <w:w w:val="97"/>
              </w:rPr>
              <w:t>(156)</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June 30, 2022</w:t>
            </w:r>
          </w:p>
        </w:tc>
        <w:tc>
          <w:tcPr>
            <w:tcW w:w="1520" w:type="dxa"/>
            <w:vAlign w:val="bottom"/>
            <w:tcBorders>
              <w:bottom w:val="single" w:sz="8" w:color="auto"/>
            </w:tcBorders>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742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15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of September 30, 2022, the total unrecognized compensation cost related to non-vested restricted stock units was $10.7 million. The related weighted average period over which this cost is expected to be recognized was approximately 2.1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EMPLOYEE BENEFIT PLANS</w:t>
      </w:r>
    </w:p>
    <w:p>
      <w:pPr>
        <w:spacing w:after="0" w:line="18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currently have a savings and profit sharing plan pursuant to Section 401(k) of the Internal Revenue Code, whereby eligible employees may contribute up to 25% of their pre-tax earnings subject to certain limits under law.</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provide a match of 100% on the first 3% of each employee’s bi-weekly contribution and a 50% match on the next 2% of each employee’s bi-weekly contribution. The employer matching contribution was reinstated for all employees after a suspension effective May 3, 2020 and ending on December 31, 2020 in the United States and Canada. We provided matching contributions of $3.1 million for fiscal 2022, $2.4 million for fiscal 2021 and $1.7 million for fiscal 2020. In addition, we may make contributions to the plan at the discretion of the Board of Directors.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COMMITMENTS AND CONTINGENCIES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0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We lease certain of our buildings and equipment under noncancelable lease agreements. Please refer to </w:t>
      </w:r>
      <w:r>
        <w:rPr>
          <w:rFonts w:ascii="Times New Roman" w:cs="Times New Roman" w:eastAsia="Times New Roman" w:hAnsi="Times New Roman"/>
          <w:sz w:val="18"/>
          <w:szCs w:val="18"/>
          <w:u w:val="single" w:color="auto"/>
          <w:color w:val="0000FF"/>
        </w:rPr>
        <w:t>Note 9</w:t>
      </w:r>
      <w:r>
        <w:rPr>
          <w:rFonts w:ascii="Times New Roman" w:cs="Times New Roman" w:eastAsia="Times New Roman" w:hAnsi="Times New Roman"/>
          <w:sz w:val="18"/>
          <w:szCs w:val="18"/>
          <w:color w:val="auto"/>
        </w:rPr>
        <w:t xml:space="preserve"> to our consolidated financial statements for additional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2018, DimOnOff Inc., a company headquartered in Quebec City, Quebec, Canada ("DimOnOff"), which sells control systems in the building automation and street lighting markets sued us and a former distributor from whom DimOnOff purchased certain Digi products. The suit was brought in the Superior Court of the Province of Quebec in the District of Quebec (Canada) and alleges certain Digi products it purchased and incorporated into street lighting systems in a Canadian city were defective causing some of the street lights to malfunction. It alleged damages of just over CAD 1.0 million. During the second quarter of fiscal 2021, the lawsuit was settled and no payment will be made by us. However, we will be providing DimOnOff reduced product pricing on a limited number of products for an amount substantially lower than what was claimed in the lawsuit.</w:t>
      </w:r>
    </w:p>
    <w:p>
      <w:pPr>
        <w:spacing w:after="0" w:line="16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to the matter discussed above, in the normal course of business, we are presently, and expect in the future to be, subject to various claims and litigation with third parties such as non-practicing intellectual property entities as well as customers, vendors and/or employees. There can be no assurance that any claims by third parties, if proven to have merit, will not materially adversely affect our business, liquidity or financial condition.</w:t>
      </w:r>
    </w:p>
    <w:p>
      <w:pPr>
        <w:spacing w:after="0" w:line="131" w:lineRule="exact"/>
        <w:rPr>
          <w:sz w:val="20"/>
          <w:szCs w:val="20"/>
          <w:color w:val="auto"/>
        </w:rPr>
      </w:pPr>
    </w:p>
    <w:p>
      <w:pPr>
        <w:ind w:right="1020"/>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0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This Annual Report on Form 10-K includes the certifications attached as Exhibit 31.A and Exhibit 31.B of our Chief Executive Officer and Chief Financial Officer required by Rule 13a-14 of the Securities Exchange Act of 1934, as amended (the "Exchange Act"). This Item 9A includes information concerning the controls and control evaluations referred to in those certifications.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15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Chief Executive Officer and Chief Financial Officer, evaluated the design and operation of our disclosure controls and procedures as of September 30, 2022. Based on their evaluation, the Chief Executive Officer and Chief Financial Officer concluded that, as of September 30, 2022, our disclosure controls and procedures (as defined in Rules 13a-15(e) and 15d - 15(e) under the Security Exchange Act of 1934, as amended) were effective and provide reasonable assurance on the reliability of our financial reporting and the preparation of Digi's financial statements for external purposes in accordance with generally accepted accounting principles.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our consolidated financial statements for external purposes in accordance with generally accepted accounting principles. Management, with the participation of our Chief Executive Officer and Chief Financial Officer, assessed the effectiveness of our internal control over financial reporting as of September 30, 2022.</w:t>
      </w:r>
    </w:p>
    <w:p>
      <w:pPr>
        <w:spacing w:after="0" w:line="1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November 1, 2021, we completed our acquisition of Ventus. As permitted for recently acquired businesses, management has excluded this business from our assessment of internal control over financial reporting. This excluded business represented total assets and revenues constituting 41% and 14%, respectively, of our related consolidated financial statement amounts for the fiscal year ended September 30, 2022. We will be required to include them in our assessment beginning in the first quarter of fiscal 2023.</w:t>
      </w:r>
    </w:p>
    <w:p>
      <w:pPr>
        <w:spacing w:after="0" w:line="13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In making this assessment, management used the framework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Based on this assessment, management concluded that Digi's internal control over financial reporting was effective as of September 30, 2022 based on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(2013) issued by the COSO.</w:t>
      </w:r>
    </w:p>
    <w:p>
      <w:pPr>
        <w:spacing w:after="0" w:line="13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September 30, 2022 has been audited by Grant Thornton LLP, an independent registered public accounting firm, as stated in their report, which is included herein.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quarterly period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 International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Digi International Inc. (a Delaware corporation) and subsidiaries (the “Company”) as of September 30, 2022, based on criteria established in the 2013 Internal Control—Integrated Framework issued by the Committee of Sponsoring Organizations of the Treadway Commission (“COSO”). In our opinion, the Company maintained, in all material respects, effective internal control over financial reporting as of September 30, 2022, based on criteria established in the 2013 Internal Control—Integrated Framework issued by COSO.</w:t>
      </w:r>
    </w:p>
    <w:p>
      <w:pPr>
        <w:spacing w:after="0" w:line="20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September 30, 2022, and our report dated November 23, 2022 expressed an unqualified opinion on those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(“Management’s Report”).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audit of, and opinion on, the Company’s internal control over financial reporting does not include the internal control over financial reporting of Ventus Wireless, LLC and affiliated entities (“Ventus”), whose financial statements reflect total assets and revenues constituting 41% and 14%, respectively, of the related consolidated financial statement amounts as of and for the year ended September 30, 2022. As indicated in Management’s Report, Ventus was acquired during the year ended September 30, 2022. Management’s assertion of the effectiveness of the Company’s internal control over financial reporting excluded internal control over financial reporting of Ventus.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23, 2022</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Incorporated into this item by reference is the information appearing under the headings "Proposal No. 1 - Election of Directors", "Corporate Governance", "Security Ownership of Principal Stockholders and Management" and, if applicable, "Delinquent Section 16(a) Reports" in our Proxy Statement for our 2022 Annual Meeting of Stockholders we intend to file with the SEC (the "Proxy Statement").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filing this Form 10-K, the following individuals were executive officers of the Registrant: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Age</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w:t>
            </w:r>
          </w:p>
        </w:tc>
      </w:tr>
      <w:tr>
        <w:trPr>
          <w:trHeight w:val="21"/>
        </w:trPr>
        <w:tc>
          <w:tcPr>
            <w:tcW w:w="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E. Konezny</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40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0"/>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J. Loch</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0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29"/>
        </w:trPr>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Radha Chavali</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0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Chief Information Officer</w:t>
            </w:r>
          </w:p>
        </w:tc>
      </w:tr>
      <w:tr>
        <w:trPr>
          <w:trHeight w:val="229"/>
        </w:trPr>
        <w:tc>
          <w:tcPr>
            <w:tcW w:w="20" w:type="dxa"/>
            <w:vAlign w:val="bottom"/>
          </w:tcPr>
          <w:p>
            <w:pPr>
              <w:spacing w:after="0"/>
              <w:rPr>
                <w:sz w:val="19"/>
                <w:szCs w:val="19"/>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H. Sampsell</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400" w:type="dxa"/>
            <w:vAlign w:val="bottom"/>
          </w:tcPr>
          <w:p>
            <w:pPr>
              <w:spacing w:after="0"/>
              <w:rPr>
                <w:sz w:val="19"/>
                <w:szCs w:val="19"/>
                <w:color w:val="auto"/>
              </w:rPr>
            </w:pP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Corporate Development, General Counsel and Corporate Secretary</w:t>
            </w:r>
          </w:p>
        </w:tc>
      </w:tr>
      <w:tr>
        <w:trPr>
          <w:trHeight w:val="230"/>
        </w:trPr>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Terrence G. Schneider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400" w:type="dxa"/>
            <w:vAlign w:val="bottom"/>
            <w:shd w:val="clear" w:color="auto" w:fill="CCEEFF"/>
          </w:tcPr>
          <w:p>
            <w:pPr>
              <w:spacing w:after="0"/>
              <w:rPr>
                <w:sz w:val="19"/>
                <w:szCs w:val="19"/>
                <w:color w:val="auto"/>
              </w:rPr>
            </w:pPr>
          </w:p>
        </w:tc>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Vice President Supply Chain Management</w:t>
            </w:r>
          </w:p>
        </w:tc>
      </w:tr>
    </w:tbl>
    <w:p>
      <w:pPr>
        <w:spacing w:after="0" w:line="17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Ronald E. Konezny has served as a member of our Board of Directors and as our President and Chief Executive Officer since 2014. From 2013 to December 2014, he served as Vice President, Global Transportation and Logistics at Trimble Navigation Limited, a global provider of navigation and range-finding equipment and related solutions. From 2011 to 2013, he served as General Manager of Trimble’s Global Transportation and Logistics division. From 2007 to 2013, he served as Chief Executive Officer of PeopleNet, Inc., a provider of telematics solutions for the transportation industry, which was acquired by Trimble in 2011. Mr. Konezny founded PeopleNet in 1996 and served in various other roles, including Chief Technology Officer, Chief Financial Officer and Chief Operating Officer, before serving as its Chief Executive Officer.</w:t>
      </w:r>
    </w:p>
    <w:p>
      <w:pPr>
        <w:spacing w:after="0" w:line="20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James J. Loch has served as Executive Vice President, Chief Financial Officer and Treasurer since January 2022. He previously served as Senior Vice President, Chief Financial Officer and Treasurer from May 2019 to January 2022. Prior to joining us, Mr. Loch most recently served as Senior Vice President of Finance and Chief Financial officer of Nilfisk, Inc., a Denmark-owned company based in Minneapolis that manufactures professional cleaning equipment, from May 2016 to February 2019. From 2015 to 2016, he was an independent consultant focused on projects including due diligence, business planning, back office reorganization and product research. Previously, he served at Honeywell Building Solutions, a division of Honeywell International, as Chief Financial Officer (Americas) from 2008 to 2012 and then as Vice President — Sales from 2012 to 2015.</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Radha Chavali has served as Senior Vice President and Chief Information Officer since August 2022. Prior to joining us, Ms. Chavali served as Global Senior Director of Corporate Systems for Donaldson Filtration from May 2017 to August 2022, where she led a large globally distributed team to support critical systems in operations, finance, procurement, legal, and HR. Previously, she served as the Business Transformation Director at Stratasys from 2015 to May 2017, where she led a multiyear, multimillion dollar digital transformation project to implement a single global ERP platform.</w:t>
      </w:r>
    </w:p>
    <w:p>
      <w:pPr>
        <w:spacing w:after="0" w:line="18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7"/>
          <w:szCs w:val="17"/>
          <w:color w:val="auto"/>
        </w:rPr>
        <w:t>David H. Sampsell has served as Executive Vice President, Corporate Development, General Counsel and Corporate Secretary since January 2022. He previously served as Vice President of Corporate Development, General Counsel and Corporate Secretary from 2015 to January 2022. He had previously served as Vice President, General Counsel and Corporate Secretary since 2011. Prior to joining us, Mr. Sampsell worked as corporate counsel at ADC Telecommunications, Inc., a supplier of network infrastructure products and services, from 1999 until 2011. Prior to joining ADC, Mr. Sampsell was an attorney in private practice with Leonard, Street and Deinard, P.A. from 1996 to 1999 and Moore &amp; Van Allen, PLLC from 1993 to 1996.</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 (CONTINUED)</w:t>
      </w:r>
    </w:p>
    <w:p>
      <w:pPr>
        <w:spacing w:after="0" w:line="229"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Terrence G. Schneider has served as Senior Vice President, Supply Chain Management since January 2022. He previously served as Vice President of Supply Chain Management from February 2019 to January 2022. From 2016 to February 2019, he served as Vice President of Product Management. Prior to joining us, Terry held several senior-level leadership positions at PeopleNet, Inc. from 2009 to 2011 and the transportation and logistics business unit of Trimble Navigation Limited, PeopleNet's parent company from 2012 to June 2016 where he served as Vice President Supply Chain.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Ethics/Code of Conduct</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maintain a "Financial Code of Ethics" that applies to our senior financial management, including our principal executive officer, principal financial officer, controller and other persons performing similar functions. A copy of this financial code of ethics is available on our website (</w:t>
      </w:r>
      <w:r>
        <w:rPr>
          <w:rFonts w:ascii="Times New Roman" w:cs="Times New Roman" w:eastAsia="Times New Roman" w:hAnsi="Times New Roman"/>
          <w:sz w:val="18"/>
          <w:szCs w:val="18"/>
          <w:u w:val="single" w:color="auto"/>
          <w:color w:val="auto"/>
        </w:rPr>
        <w:t>www.digi.com</w:t>
      </w:r>
      <w:r>
        <w:rPr>
          <w:rFonts w:ascii="Times New Roman" w:cs="Times New Roman" w:eastAsia="Times New Roman" w:hAnsi="Times New Roman"/>
          <w:sz w:val="18"/>
          <w:szCs w:val="18"/>
          <w:color w:val="auto"/>
        </w:rPr>
        <w:t>) under the "Company - Investor Relations - Corporate Governance" caption and is also available in print to any stockholder who requests in writing from our Corporate Secretary. We intend to satisfy our disclosure obligations regarding any amendment to, or a waiver from, a provision of this financial code of ethics by posting such information on the same website. We also maintain a "Global Code of Ethics and Business Conduct" that applies to all directors, officers and employees, a copy of which is available through our website (</w:t>
      </w:r>
      <w:r>
        <w:rPr>
          <w:rFonts w:ascii="Times New Roman" w:cs="Times New Roman" w:eastAsia="Times New Roman" w:hAnsi="Times New Roman"/>
          <w:sz w:val="18"/>
          <w:szCs w:val="18"/>
          <w:u w:val="single" w:color="auto"/>
          <w:color w:val="auto"/>
        </w:rPr>
        <w:t>www.digi.com</w:t>
      </w:r>
      <w:r>
        <w:rPr>
          <w:rFonts w:ascii="Times New Roman" w:cs="Times New Roman" w:eastAsia="Times New Roman" w:hAnsi="Times New Roman"/>
          <w:sz w:val="18"/>
          <w:szCs w:val="18"/>
          <w:color w:val="auto"/>
        </w:rPr>
        <w:t>) under the "Company - Investor Relations - Corporate Governance" caption. We are not including the information contained on our website as part of, or incorporating it by reference into, this report.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Incorporated into this item by reference is the information appearing under the heading "Compensation of Directors," "Executive Compensation," and the information regarding compensation committee interlocks and insider participation under the heading "Proposal No. 1 - Election of Directors" in our Proxy Statement.</w:t>
      </w:r>
    </w:p>
    <w:p>
      <w:pPr>
        <w:spacing w:after="0" w:line="131"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1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Incorporated into this item by reference is the information appearing under the headings "Security Ownership of Principal Stockholders and Management" and "Equity Compensation Plan Information" in our Proxy 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Incorporated into this item by reference is the information regarding director independence under the heading "Proposal No. 1 - Election of Directors" and the information regarding related person transactions under the heading "Related Person Transaction Approval Policy" on our Proxy Statement.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into this item by reference is the information under "Audit and Non-Audit Fees" in our Proxy Statement.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6" w:lineRule="exact"/>
        <w:rPr>
          <w:sz w:val="20"/>
          <w:szCs w:val="20"/>
          <w:color w:val="auto"/>
        </w:rPr>
      </w:pPr>
    </w:p>
    <w:p>
      <w:pPr>
        <w:ind w:left="280" w:hanging="254"/>
        <w:spacing w:after="0"/>
        <w:tabs>
          <w:tab w:leader="none" w:pos="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and Schedules of Digi (filed as part of this Annual Report on Form 10-K)</w:t>
      </w:r>
    </w:p>
    <w:p>
      <w:pPr>
        <w:spacing w:after="0" w:line="27" w:lineRule="exact"/>
        <w:rPr>
          <w:rFonts w:ascii="Times New Roman" w:cs="Times New Roman" w:eastAsia="Times New Roman" w:hAnsi="Times New Roman"/>
          <w:sz w:val="18"/>
          <w:szCs w:val="18"/>
          <w:color w:val="auto"/>
        </w:rPr>
      </w:pPr>
    </w:p>
    <w:p>
      <w:pPr>
        <w:ind w:left="1060" w:right="2220" w:hanging="179"/>
        <w:spacing w:after="0" w:line="266" w:lineRule="auto"/>
        <w:tabs>
          <w:tab w:leader="none" w:pos="10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fiscal years ended September 30, 2022, 2021 and 2020 Consolidated Statements of Comprehensive Income for fiscal years ended September 30, 2022, 2021 and 2020 Consolidated Balance Sheets as of September 30, 2022 and 2021</w:t>
      </w:r>
    </w:p>
    <w:p>
      <w:pPr>
        <w:ind w:left="1060" w:right="24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 for fiscal years ended September 30, 2022, 2021 and 2020 Consolidated Statements of Stockholders’ Equity for fiscal years ended September 30, 2022, 2021 and 2020 Notes to Consolidated Financial Statements</w:t>
      </w:r>
    </w:p>
    <w:p>
      <w:pPr>
        <w:ind w:left="1060" w:hanging="179"/>
        <w:spacing w:after="0"/>
        <w:tabs>
          <w:tab w:leader="none" w:pos="10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of Valuation and Qualifying Accounts</w:t>
      </w:r>
    </w:p>
    <w:p>
      <w:pPr>
        <w:spacing w:after="0" w:line="22" w:lineRule="exact"/>
        <w:rPr>
          <w:rFonts w:ascii="Times New Roman" w:cs="Times New Roman" w:eastAsia="Times New Roman" w:hAnsi="Times New Roman"/>
          <w:sz w:val="18"/>
          <w:szCs w:val="18"/>
          <w:color w:val="auto"/>
        </w:rPr>
      </w:pPr>
    </w:p>
    <w:p>
      <w:pPr>
        <w:ind w:left="1060" w:hanging="179"/>
        <w:spacing w:after="0"/>
        <w:tabs>
          <w:tab w:leader="none" w:pos="10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Certified Public Accounting Firm</w:t>
      </w:r>
    </w:p>
    <w:p>
      <w:pPr>
        <w:spacing w:after="0" w:line="125" w:lineRule="exact"/>
        <w:rPr>
          <w:rFonts w:ascii="Times New Roman" w:cs="Times New Roman" w:eastAsia="Times New Roman" w:hAnsi="Times New Roman"/>
          <w:sz w:val="18"/>
          <w:szCs w:val="18"/>
          <w:color w:val="auto"/>
        </w:rPr>
      </w:pPr>
    </w:p>
    <w:p>
      <w:pPr>
        <w:ind w:left="280" w:hanging="254"/>
        <w:spacing w:after="0"/>
        <w:tabs>
          <w:tab w:leader="none" w:pos="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-1508125</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-925195</wp:posOffset>
            </wp:positionV>
            <wp:extent cx="71323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2" w:lineRule="exact"/>
        <w:rPr>
          <w:sz w:val="20"/>
          <w:szCs w:val="20"/>
          <w:color w:val="auto"/>
        </w:rPr>
      </w:pPr>
    </w:p>
    <w:p>
      <w:pPr>
        <w:ind w:left="20" w:right="200"/>
        <w:spacing w:after="0" w:line="237" w:lineRule="auto"/>
        <w:rPr>
          <w:sz w:val="20"/>
          <w:szCs w:val="20"/>
          <w:color w:val="auto"/>
        </w:rPr>
      </w:pPr>
      <w:r>
        <w:rPr>
          <w:rFonts w:ascii="Times New Roman" w:cs="Times New Roman" w:eastAsia="Times New Roman" w:hAnsi="Times New Roman"/>
          <w:sz w:val="18"/>
          <w:szCs w:val="18"/>
          <w:color w:val="auto"/>
        </w:rPr>
        <w:t>Unless otherwise indicated, all documents incorporated into this Annual Report on Form 10-K by reference to a document filed with the SEC are located under SEC file number 1-34033.</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7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c>
          <w:tcPr>
            <w:tcW w:w="0" w:type="dxa"/>
            <w:vAlign w:val="bottom"/>
          </w:tcPr>
          <w:p>
            <w:pPr>
              <w:spacing w:after="0"/>
              <w:rPr>
                <w:sz w:val="1"/>
                <w:szCs w:val="1"/>
                <w:color w:val="auto"/>
              </w:rPr>
            </w:pPr>
          </w:p>
        </w:tc>
      </w:tr>
      <w:tr>
        <w:trPr>
          <w:trHeight w:val="34"/>
        </w:trPr>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1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20" w:type="dxa"/>
            <w:vAlign w:val="bottom"/>
            <w:shd w:val="clear" w:color="auto" w:fill="CCEEFF"/>
          </w:tcPr>
          <w:p>
            <w:pPr>
              <w:spacing w:after="0"/>
              <w:rPr>
                <w:sz w:val="16"/>
                <w:szCs w:val="16"/>
                <w:color w:val="auto"/>
              </w:rPr>
            </w:pPr>
          </w:p>
        </w:tc>
        <w:tc>
          <w:tcPr>
            <w:tcW w:w="762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Purchase Agreement dated as of November 1, 2021 by and among Keith Charette, Steven Glaser, The</w:t>
              </w:r>
            </w:hyperlink>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9"/>
        </w:trPr>
        <w:tc>
          <w:tcPr>
            <w:tcW w:w="100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7320" w:type="dxa"/>
            <w:vAlign w:val="bottom"/>
            <w:tcBorders>
              <w:top w:val="single" w:sz="8" w:color="0000FF"/>
              <w:bottom w:val="single" w:sz="8" w:color="0000FF"/>
            </w:tcBorders>
            <w:gridSpan w:val="12"/>
            <w:shd w:val="clear" w:color="auto" w:fill="CCEEFF"/>
          </w:tcPr>
          <w:p>
            <w:pPr>
              <w:spacing w:after="0" w:line="169" w:lineRule="exact"/>
              <w:rPr>
                <w:rFonts w:ascii="Times New Roman" w:cs="Times New Roman" w:eastAsia="Times New Roman" w:hAnsi="Times New Roman"/>
                <w:sz w:val="18"/>
                <w:szCs w:val="18"/>
                <w:color w:val="0000FF"/>
                <w:w w:val="98"/>
              </w:rPr>
            </w:pPr>
            <w:hyperlink r:id="rId104">
              <w:r>
                <w:rPr>
                  <w:rFonts w:ascii="Times New Roman" w:cs="Times New Roman" w:eastAsia="Times New Roman" w:hAnsi="Times New Roman"/>
                  <w:sz w:val="18"/>
                  <w:szCs w:val="18"/>
                  <w:color w:val="0000FF"/>
                  <w:w w:val="98"/>
                </w:rPr>
                <w:t>Keith R. Charette DE Incomplete – Gift Non-Grantor Trust, Ventus Networks, LLC, Ventus Holdings,</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1720" w:type="dxa"/>
            <w:vAlign w:val="bottom"/>
            <w:tcBorders>
              <w:top w:val="single" w:sz="8" w:color="CCEEFF"/>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55"/>
        </w:trPr>
        <w:tc>
          <w:tcPr>
            <w:tcW w:w="10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20" w:type="dxa"/>
            <w:vAlign w:val="bottom"/>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LLC, Ventus IP Holdings, LLC, Ventus Wireless Services, Inc., Ventus Wireless CA, Inc., VClipz, Inc.,</w:t>
              </w:r>
            </w:hyperlink>
          </w:p>
        </w:tc>
        <w:tc>
          <w:tcPr>
            <w:tcW w:w="1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440" w:type="dxa"/>
            <w:vAlign w:val="bottom"/>
            <w:tcBorders>
              <w:top w:val="single" w:sz="8" w:color="0000FF"/>
            </w:tcBorders>
            <w:gridSpan w:val="14"/>
            <w:shd w:val="clear" w:color="auto" w:fill="CCEEFF"/>
          </w:tcPr>
          <w:p>
            <w:pPr>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and Digi International Inc.</w:t>
              </w:r>
              <w:r>
                <w:rPr>
                  <w:rFonts w:ascii="Times New Roman" w:cs="Times New Roman" w:eastAsia="Times New Roman" w:hAnsi="Times New Roman"/>
                  <w:sz w:val="18"/>
                  <w:szCs w:val="18"/>
                  <w:color w:val="000000"/>
                </w:rPr>
                <w:t>* (1)</w:t>
              </w:r>
            </w:hyperlink>
          </w:p>
        </w:tc>
        <w:tc>
          <w:tcPr>
            <w:tcW w:w="180" w:type="dxa"/>
            <w:vAlign w:val="bottom"/>
            <w:tcBorders>
              <w:top w:val="single" w:sz="8" w:color="CCEEFF"/>
            </w:tcBorders>
            <w:gridSpan w:val="2"/>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tcPr>
          <w:p>
            <w:pPr>
              <w:ind w:left="60"/>
              <w:spacing w:after="0" w:line="184" w:lineRule="exact"/>
              <w:rPr>
                <w:sz w:val="20"/>
                <w:szCs w:val="20"/>
                <w:color w:val="auto"/>
              </w:rPr>
            </w:pPr>
            <w:r>
              <w:rPr>
                <w:rFonts w:ascii="Times New Roman" w:cs="Times New Roman" w:eastAsia="Times New Roman" w:hAnsi="Times New Roman"/>
                <w:sz w:val="18"/>
                <w:szCs w:val="18"/>
                <w:color w:val="auto"/>
              </w:rPr>
              <w:t>(a)</w:t>
            </w:r>
          </w:p>
        </w:tc>
        <w:tc>
          <w:tcPr>
            <w:tcW w:w="20" w:type="dxa"/>
            <w:vAlign w:val="bottom"/>
          </w:tcPr>
          <w:p>
            <w:pPr>
              <w:spacing w:after="0"/>
              <w:rPr>
                <w:sz w:val="16"/>
                <w:szCs w:val="16"/>
                <w:color w:val="auto"/>
              </w:rPr>
            </w:pPr>
          </w:p>
        </w:tc>
        <w:tc>
          <w:tcPr>
            <w:tcW w:w="7620" w:type="dxa"/>
            <w:vAlign w:val="bottom"/>
            <w:gridSpan w:val="16"/>
          </w:tcPr>
          <w:p>
            <w:pPr>
              <w:spacing w:after="0" w:line="184" w:lineRule="exact"/>
              <w:rPr>
                <w:sz w:val="20"/>
                <w:szCs w:val="20"/>
                <w:color w:val="auto"/>
              </w:rPr>
            </w:pPr>
            <w:r>
              <w:rPr>
                <w:rFonts w:ascii="Times New Roman" w:cs="Times New Roman" w:eastAsia="Times New Roman" w:hAnsi="Times New Roman"/>
                <w:sz w:val="18"/>
                <w:szCs w:val="18"/>
                <w:color w:val="auto"/>
              </w:rPr>
              <w:t>Restated Certificate of Incorporation, as amended (2)</w:t>
            </w:r>
          </w:p>
        </w:tc>
        <w:tc>
          <w:tcPr>
            <w:tcW w:w="17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20" w:type="dxa"/>
            <w:vAlign w:val="bottom"/>
            <w:shd w:val="clear" w:color="auto" w:fill="CCEEFF"/>
          </w:tcPr>
          <w:p>
            <w:pPr>
              <w:spacing w:after="0"/>
              <w:rPr>
                <w:sz w:val="16"/>
                <w:szCs w:val="16"/>
                <w:color w:val="auto"/>
              </w:rPr>
            </w:pPr>
          </w:p>
        </w:tc>
        <w:tc>
          <w:tcPr>
            <w:tcW w:w="762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 xml:space="preserve">Amended and Restated By-Laws </w:t>
              </w:r>
            </w:hyperlink>
            <w:r>
              <w:rPr>
                <w:rFonts w:ascii="Times New Roman" w:cs="Times New Roman" w:eastAsia="Times New Roman" w:hAnsi="Times New Roman"/>
                <w:sz w:val="18"/>
                <w:szCs w:val="18"/>
                <w:color w:val="000000"/>
              </w:rPr>
              <w:t>(3)</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0000FF"/>
            </w:tcBorders>
            <w:shd w:val="clear" w:color="auto" w:fill="CCEEFF"/>
          </w:tcPr>
          <w:p>
            <w:pPr>
              <w:spacing w:after="0"/>
              <w:rPr>
                <w:sz w:val="18"/>
                <w:szCs w:val="18"/>
                <w:color w:val="auto"/>
              </w:rPr>
            </w:pPr>
          </w:p>
        </w:tc>
        <w:tc>
          <w:tcPr>
            <w:tcW w:w="144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FF"/>
              </w:rPr>
              <w:t>Description of Securities</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20" w:type="dxa"/>
            <w:vAlign w:val="bottom"/>
            <w:shd w:val="clear" w:color="auto" w:fill="CCEEFF"/>
          </w:tcPr>
          <w:p>
            <w:pPr>
              <w:spacing w:after="0"/>
              <w:rPr>
                <w:sz w:val="16"/>
                <w:szCs w:val="16"/>
                <w:color w:val="auto"/>
              </w:rPr>
            </w:pPr>
          </w:p>
        </w:tc>
        <w:tc>
          <w:tcPr>
            <w:tcW w:w="762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Digi International Inc. Employee Stock Purchase Plan as amended and restated as of December 10,</w:t>
              </w:r>
            </w:hyperlink>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9"/>
        </w:trPr>
        <w:tc>
          <w:tcPr>
            <w:tcW w:w="10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0000FF"/>
            </w:tcBorders>
            <w:gridSpan w:val="2"/>
            <w:shd w:val="clear" w:color="auto" w:fill="CCEEFF"/>
          </w:tcPr>
          <w:p>
            <w:pPr>
              <w:spacing w:after="0" w:line="169"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2019</w:t>
              </w:r>
              <w:r>
                <w:rPr>
                  <w:rFonts w:ascii="Times New Roman" w:cs="Times New Roman" w:eastAsia="Times New Roman" w:hAnsi="Times New Roman"/>
                  <w:sz w:val="18"/>
                  <w:szCs w:val="18"/>
                  <w:color w:val="000000"/>
                </w:rPr>
                <w:t>** (4)</w:t>
              </w:r>
            </w:hyperlink>
          </w:p>
        </w:tc>
        <w:tc>
          <w:tcPr>
            <w:tcW w:w="120" w:type="dxa"/>
            <w:vAlign w:val="bottom"/>
            <w:tcBorders>
              <w:top w:val="single" w:sz="8" w:color="0000FF"/>
            </w:tcBorders>
            <w:shd w:val="clear" w:color="auto" w:fill="CCEEFF"/>
          </w:tcPr>
          <w:p>
            <w:pPr>
              <w:spacing w:after="0"/>
              <w:rPr>
                <w:sz w:val="14"/>
                <w:szCs w:val="14"/>
                <w:color w:val="auto"/>
              </w:rPr>
            </w:pPr>
          </w:p>
        </w:tc>
        <w:tc>
          <w:tcPr>
            <w:tcW w:w="460" w:type="dxa"/>
            <w:vAlign w:val="bottom"/>
            <w:tcBorders>
              <w:top w:val="single" w:sz="8" w:color="0000FF"/>
            </w:tcBorders>
            <w:shd w:val="clear" w:color="auto" w:fill="CCEEFF"/>
          </w:tcPr>
          <w:p>
            <w:pPr>
              <w:spacing w:after="0"/>
              <w:rPr>
                <w:sz w:val="14"/>
                <w:szCs w:val="14"/>
                <w:color w:val="auto"/>
              </w:rPr>
            </w:pPr>
          </w:p>
        </w:tc>
        <w:tc>
          <w:tcPr>
            <w:tcW w:w="740" w:type="dxa"/>
            <w:vAlign w:val="bottom"/>
            <w:tcBorders>
              <w:top w:val="single" w:sz="8" w:color="0000FF"/>
            </w:tcBorders>
            <w:shd w:val="clear" w:color="auto" w:fill="CCEEFF"/>
          </w:tcPr>
          <w:p>
            <w:pPr>
              <w:spacing w:after="0"/>
              <w:rPr>
                <w:sz w:val="14"/>
                <w:szCs w:val="14"/>
                <w:color w:val="auto"/>
              </w:rPr>
            </w:pPr>
          </w:p>
        </w:tc>
        <w:tc>
          <w:tcPr>
            <w:tcW w:w="680" w:type="dxa"/>
            <w:vAlign w:val="bottom"/>
            <w:tcBorders>
              <w:top w:val="single" w:sz="8" w:color="0000FF"/>
            </w:tcBorders>
            <w:shd w:val="clear" w:color="auto" w:fill="CCEEFF"/>
          </w:tcPr>
          <w:p>
            <w:pPr>
              <w:spacing w:after="0"/>
              <w:rPr>
                <w:sz w:val="14"/>
                <w:szCs w:val="14"/>
                <w:color w:val="auto"/>
              </w:rPr>
            </w:pPr>
          </w:p>
        </w:tc>
        <w:tc>
          <w:tcPr>
            <w:tcW w:w="640" w:type="dxa"/>
            <w:vAlign w:val="bottom"/>
            <w:tcBorders>
              <w:top w:val="single" w:sz="8" w:color="0000FF"/>
            </w:tcBorders>
            <w:shd w:val="clear" w:color="auto" w:fill="CCEEFF"/>
          </w:tcPr>
          <w:p>
            <w:pPr>
              <w:spacing w:after="0"/>
              <w:rPr>
                <w:sz w:val="14"/>
                <w:szCs w:val="14"/>
                <w:color w:val="auto"/>
              </w:rPr>
            </w:pPr>
          </w:p>
        </w:tc>
        <w:tc>
          <w:tcPr>
            <w:tcW w:w="280" w:type="dxa"/>
            <w:vAlign w:val="bottom"/>
            <w:tcBorders>
              <w:top w:val="single" w:sz="8" w:color="0000FF"/>
            </w:tcBorders>
            <w:shd w:val="clear" w:color="auto" w:fill="CCEEFF"/>
          </w:tcPr>
          <w:p>
            <w:pPr>
              <w:spacing w:after="0"/>
              <w:rPr>
                <w:sz w:val="14"/>
                <w:szCs w:val="14"/>
                <w:color w:val="auto"/>
              </w:rPr>
            </w:pPr>
          </w:p>
        </w:tc>
        <w:tc>
          <w:tcPr>
            <w:tcW w:w="20" w:type="dxa"/>
            <w:vAlign w:val="bottom"/>
            <w:tcBorders>
              <w:top w:val="single" w:sz="8" w:color="0000FF"/>
            </w:tcBorders>
            <w:shd w:val="clear" w:color="auto" w:fill="CCEEFF"/>
          </w:tcPr>
          <w:p>
            <w:pPr>
              <w:spacing w:after="0"/>
              <w:rPr>
                <w:sz w:val="14"/>
                <w:szCs w:val="14"/>
                <w:color w:val="auto"/>
              </w:rPr>
            </w:pPr>
          </w:p>
        </w:tc>
        <w:tc>
          <w:tcPr>
            <w:tcW w:w="214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0000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20" w:type="dxa"/>
            <w:vAlign w:val="bottom"/>
          </w:tcPr>
          <w:p>
            <w:pPr>
              <w:spacing w:after="0"/>
              <w:rPr>
                <w:sz w:val="16"/>
                <w:szCs w:val="16"/>
                <w:color w:val="auto"/>
              </w:rPr>
            </w:pPr>
          </w:p>
        </w:tc>
        <w:tc>
          <w:tcPr>
            <w:tcW w:w="7620" w:type="dxa"/>
            <w:vAlign w:val="bottom"/>
            <w:gridSpan w:val="16"/>
          </w:tcPr>
          <w:p>
            <w:pPr>
              <w:spacing w:after="0" w:line="189"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Digi International Inc. 2000 Omnibus Stock Plan, as amended and restated as of December 4, 2009</w:t>
              </w:r>
            </w:hyperlink>
            <w:r>
              <w:rPr>
                <w:rFonts w:ascii="Times New Roman" w:cs="Times New Roman" w:eastAsia="Times New Roman" w:hAnsi="Times New Roman"/>
                <w:sz w:val="18"/>
                <w:szCs w:val="18"/>
                <w:color w:val="000000"/>
              </w:rPr>
              <w:t>**</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14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(b)(i)</w:t>
            </w:r>
          </w:p>
        </w:tc>
        <w:tc>
          <w:tcPr>
            <w:tcW w:w="20" w:type="dxa"/>
            <w:vAlign w:val="bottom"/>
            <w:shd w:val="clear" w:color="auto" w:fill="CCEEFF"/>
          </w:tcPr>
          <w:p>
            <w:pPr>
              <w:spacing w:after="0"/>
              <w:rPr>
                <w:sz w:val="16"/>
                <w:szCs w:val="16"/>
                <w:color w:val="auto"/>
              </w:rPr>
            </w:pPr>
          </w:p>
        </w:tc>
        <w:tc>
          <w:tcPr>
            <w:tcW w:w="762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 xml:space="preserve">Form of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0000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Inc. 2000 Omnibus Stock Plan before January 26, 2010)** (6)</w:t>
            </w:r>
          </w:p>
        </w:tc>
        <w:tc>
          <w:tcPr>
            <w:tcW w:w="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gridSpan w:val="6"/>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(b)(ii)</w:t>
            </w:r>
          </w:p>
        </w:tc>
        <w:tc>
          <w:tcPr>
            <w:tcW w:w="20" w:type="dxa"/>
            <w:vAlign w:val="bottom"/>
          </w:tcPr>
          <w:p>
            <w:pPr>
              <w:spacing w:after="0"/>
              <w:rPr>
                <w:sz w:val="16"/>
                <w:szCs w:val="16"/>
                <w:color w:val="auto"/>
              </w:rPr>
            </w:pPr>
          </w:p>
        </w:tc>
        <w:tc>
          <w:tcPr>
            <w:tcW w:w="7620" w:type="dxa"/>
            <w:vAlign w:val="bottom"/>
            <w:gridSpan w:val="16"/>
          </w:tcPr>
          <w:p>
            <w:pPr>
              <w:spacing w:after="0" w:line="189"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 xml:space="preserve">Form of Notice of Grant of Stock Options and Option Agreement </w:t>
              </w:r>
            </w:hyperlink>
            <w:r>
              <w:rPr>
                <w:rFonts w:ascii="Times New Roman" w:cs="Times New Roman" w:eastAsia="Times New Roman" w:hAnsi="Times New Roman"/>
                <w:sz w:val="18"/>
                <w:szCs w:val="18"/>
                <w:color w:val="000000"/>
              </w:rPr>
              <w:t>(amended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form for grants under Digi</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00" w:type="dxa"/>
            <w:vAlign w:val="bottom"/>
            <w:gridSpan w:val="5"/>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7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20" w:type="dxa"/>
            <w:vAlign w:val="bottom"/>
            <w:gridSpan w:val="16"/>
          </w:tcPr>
          <w:p>
            <w:pPr>
              <w:spacing w:after="0" w:line="156" w:lineRule="exact"/>
              <w:rPr>
                <w:sz w:val="20"/>
                <w:szCs w:val="20"/>
                <w:color w:val="auto"/>
              </w:rPr>
            </w:pPr>
            <w:r>
              <w:rPr>
                <w:rFonts w:ascii="Times New Roman" w:cs="Times New Roman" w:eastAsia="Times New Roman" w:hAnsi="Times New Roman"/>
                <w:sz w:val="18"/>
                <w:szCs w:val="18"/>
                <w:color w:val="auto"/>
              </w:rPr>
              <w:t>International Inc. 2000 Omnibus Stock Plan on or after January 26, 2010 provided Addendum 1A</w:t>
            </w: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0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applies only to certain grants made on and after November 22, 2011)** (7)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(c)</w:t>
            </w:r>
          </w:p>
        </w:tc>
        <w:tc>
          <w:tcPr>
            <w:tcW w:w="20" w:type="dxa"/>
            <w:vAlign w:val="bottom"/>
            <w:shd w:val="clear" w:color="auto" w:fill="CCEEFF"/>
          </w:tcPr>
          <w:p>
            <w:pPr>
              <w:spacing w:after="0"/>
              <w:rPr>
                <w:sz w:val="16"/>
                <w:szCs w:val="16"/>
                <w:color w:val="auto"/>
              </w:rPr>
            </w:pPr>
          </w:p>
        </w:tc>
        <w:tc>
          <w:tcPr>
            <w:tcW w:w="762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Digi International Inc. 2013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(8)</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0000FF"/>
            </w:tcBorders>
            <w:shd w:val="clear" w:color="auto" w:fill="CCEEFF"/>
          </w:tcPr>
          <w:p>
            <w:pPr>
              <w:spacing w:after="0"/>
              <w:rPr>
                <w:sz w:val="18"/>
                <w:szCs w:val="18"/>
                <w:color w:val="auto"/>
              </w:rPr>
            </w:pPr>
          </w:p>
        </w:tc>
        <w:tc>
          <w:tcPr>
            <w:tcW w:w="144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740" w:type="dxa"/>
            <w:vAlign w:val="bottom"/>
            <w:tcBorders>
              <w:top w:val="single" w:sz="8" w:color="0000FF"/>
            </w:tcBorders>
            <w:shd w:val="clear" w:color="auto" w:fill="CCEEFF"/>
          </w:tcPr>
          <w:p>
            <w:pPr>
              <w:spacing w:after="0"/>
              <w:rPr>
                <w:sz w:val="18"/>
                <w:szCs w:val="18"/>
                <w:color w:val="auto"/>
              </w:rPr>
            </w:pPr>
          </w:p>
        </w:tc>
        <w:tc>
          <w:tcPr>
            <w:tcW w:w="680" w:type="dxa"/>
            <w:vAlign w:val="bottom"/>
            <w:tcBorders>
              <w:top w:val="single" w:sz="8" w:color="0000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(c)(i)</w:t>
            </w:r>
          </w:p>
        </w:tc>
        <w:tc>
          <w:tcPr>
            <w:tcW w:w="20" w:type="dxa"/>
            <w:vAlign w:val="bottom"/>
          </w:tcPr>
          <w:p>
            <w:pPr>
              <w:spacing w:after="0"/>
              <w:rPr>
                <w:sz w:val="16"/>
                <w:szCs w:val="16"/>
                <w:color w:val="auto"/>
              </w:rPr>
            </w:pPr>
          </w:p>
        </w:tc>
        <w:tc>
          <w:tcPr>
            <w:tcW w:w="6860" w:type="dxa"/>
            <w:vAlign w:val="bottom"/>
            <w:tcBorders>
              <w:bottom w:val="single" w:sz="8" w:color="0000FF"/>
            </w:tcBorders>
            <w:gridSpan w:val="10"/>
          </w:tcPr>
          <w:p>
            <w:pPr>
              <w:spacing w:after="0" w:line="189"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Form of Notice of Grant of Stock Options and Option Agreement including Addenda to Option</w:t>
              </w:r>
            </w:hyperlink>
          </w:p>
        </w:tc>
        <w:tc>
          <w:tcPr>
            <w:tcW w:w="760" w:type="dxa"/>
            <w:vAlign w:val="bottom"/>
            <w:gridSpan w:val="6"/>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20" w:type="dxa"/>
            <w:vAlign w:val="bottom"/>
            <w:gridSpan w:val="16"/>
          </w:tcPr>
          <w:p>
            <w:pPr>
              <w:spacing w:after="0" w:line="169"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 xml:space="preserve">Agreement that may apply to certain grants </w:t>
              </w:r>
              <w:r>
                <w:rPr>
                  <w:rFonts w:ascii="Times New Roman" w:cs="Times New Roman" w:eastAsia="Times New Roman" w:hAnsi="Times New Roman"/>
                  <w:sz w:val="18"/>
                  <w:szCs w:val="18"/>
                  <w:color w:val="000000"/>
                </w:rPr>
                <w:t>(for grants under Digi International Inc. 2013 Omnibus</w:t>
              </w:r>
            </w:hyperlink>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Incentive Plan)** (9)</w:t>
            </w:r>
          </w:p>
        </w:tc>
        <w:tc>
          <w:tcPr>
            <w:tcW w:w="1320" w:type="dxa"/>
            <w:vAlign w:val="bottom"/>
            <w:gridSpan w:val="2"/>
          </w:tcPr>
          <w:p>
            <w:pPr>
              <w:spacing w:after="0"/>
              <w:rPr>
                <w:sz w:val="17"/>
                <w:szCs w:val="17"/>
                <w:color w:val="auto"/>
              </w:rPr>
            </w:pPr>
          </w:p>
        </w:tc>
        <w:tc>
          <w:tcPr>
            <w:tcW w:w="3200" w:type="dxa"/>
            <w:vAlign w:val="bottom"/>
            <w:gridSpan w:val="9"/>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w:t>
            </w:r>
          </w:p>
        </w:tc>
        <w:tc>
          <w:tcPr>
            <w:tcW w:w="20" w:type="dxa"/>
            <w:vAlign w:val="bottom"/>
            <w:shd w:val="clear" w:color="auto" w:fill="CCEEFF"/>
          </w:tcPr>
          <w:p>
            <w:pPr>
              <w:spacing w:after="0"/>
              <w:rPr>
                <w:sz w:val="16"/>
                <w:szCs w:val="16"/>
                <w:color w:val="auto"/>
              </w:rPr>
            </w:pPr>
          </w:p>
        </w:tc>
        <w:tc>
          <w:tcPr>
            <w:tcW w:w="762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Digi International Inc. 2014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(10)</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0000FF"/>
            </w:tcBorders>
            <w:shd w:val="clear" w:color="auto" w:fill="CCEEFF"/>
          </w:tcPr>
          <w:p>
            <w:pPr>
              <w:spacing w:after="0"/>
              <w:rPr>
                <w:sz w:val="18"/>
                <w:szCs w:val="18"/>
                <w:color w:val="auto"/>
              </w:rPr>
            </w:pPr>
          </w:p>
        </w:tc>
        <w:tc>
          <w:tcPr>
            <w:tcW w:w="144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460" w:type="dxa"/>
            <w:vAlign w:val="bottom"/>
            <w:tcBorders>
              <w:top w:val="single" w:sz="8" w:color="0000FF"/>
            </w:tcBorders>
            <w:shd w:val="clear" w:color="auto" w:fill="CCEEFF"/>
          </w:tcPr>
          <w:p>
            <w:pPr>
              <w:spacing w:after="0"/>
              <w:rPr>
                <w:sz w:val="18"/>
                <w:szCs w:val="18"/>
                <w:color w:val="auto"/>
              </w:rPr>
            </w:pPr>
          </w:p>
        </w:tc>
        <w:tc>
          <w:tcPr>
            <w:tcW w:w="740" w:type="dxa"/>
            <w:vAlign w:val="bottom"/>
            <w:tcBorders>
              <w:top w:val="single" w:sz="8" w:color="0000FF"/>
            </w:tcBorders>
            <w:shd w:val="clear" w:color="auto" w:fill="CCEEFF"/>
          </w:tcPr>
          <w:p>
            <w:pPr>
              <w:spacing w:after="0"/>
              <w:rPr>
                <w:sz w:val="18"/>
                <w:szCs w:val="18"/>
                <w:color w:val="auto"/>
              </w:rPr>
            </w:pPr>
          </w:p>
        </w:tc>
        <w:tc>
          <w:tcPr>
            <w:tcW w:w="680" w:type="dxa"/>
            <w:vAlign w:val="bottom"/>
            <w:tcBorders>
              <w:top w:val="single" w:sz="8" w:color="0000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(d)(i)</w:t>
            </w:r>
          </w:p>
        </w:tc>
        <w:tc>
          <w:tcPr>
            <w:tcW w:w="20" w:type="dxa"/>
            <w:vAlign w:val="bottom"/>
          </w:tcPr>
          <w:p>
            <w:pPr>
              <w:spacing w:after="0"/>
              <w:rPr>
                <w:sz w:val="16"/>
                <w:szCs w:val="16"/>
                <w:color w:val="auto"/>
              </w:rPr>
            </w:pPr>
          </w:p>
        </w:tc>
        <w:tc>
          <w:tcPr>
            <w:tcW w:w="6860" w:type="dxa"/>
            <w:vAlign w:val="bottom"/>
            <w:tcBorders>
              <w:bottom w:val="single" w:sz="8" w:color="0000FF"/>
            </w:tcBorders>
            <w:gridSpan w:val="10"/>
          </w:tcPr>
          <w:p>
            <w:pPr>
              <w:spacing w:after="0" w:line="189"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Form of Notice of Grant of Stock Options and Option Agreement including Addenda to Option</w:t>
              </w:r>
            </w:hyperlink>
          </w:p>
        </w:tc>
        <w:tc>
          <w:tcPr>
            <w:tcW w:w="760" w:type="dxa"/>
            <w:vAlign w:val="bottom"/>
            <w:gridSpan w:val="6"/>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20" w:type="dxa"/>
            <w:vAlign w:val="bottom"/>
            <w:gridSpan w:val="16"/>
          </w:tcPr>
          <w:p>
            <w:pPr>
              <w:spacing w:after="0" w:line="169"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 xml:space="preserve">Agreement that may apply to certain grants </w:t>
              </w:r>
              <w:r>
                <w:rPr>
                  <w:rFonts w:ascii="Times New Roman" w:cs="Times New Roman" w:eastAsia="Times New Roman" w:hAnsi="Times New Roman"/>
                  <w:sz w:val="18"/>
                  <w:szCs w:val="18"/>
                  <w:color w:val="000000"/>
                </w:rPr>
                <w:t>(for grants under Digi International Inc. 2014 Omnibus</w:t>
              </w:r>
            </w:hyperlink>
          </w:p>
        </w:tc>
        <w:tc>
          <w:tcPr>
            <w:tcW w:w="1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Incentive Plan)** (11)</w:t>
            </w:r>
          </w:p>
        </w:tc>
        <w:tc>
          <w:tcPr>
            <w:tcW w:w="1320" w:type="dxa"/>
            <w:vAlign w:val="bottom"/>
            <w:gridSpan w:val="2"/>
          </w:tcPr>
          <w:p>
            <w:pPr>
              <w:spacing w:after="0"/>
              <w:rPr>
                <w:sz w:val="17"/>
                <w:szCs w:val="17"/>
                <w:color w:val="auto"/>
              </w:rPr>
            </w:pPr>
          </w:p>
        </w:tc>
        <w:tc>
          <w:tcPr>
            <w:tcW w:w="3200" w:type="dxa"/>
            <w:vAlign w:val="bottom"/>
            <w:gridSpan w:val="9"/>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(d)(ii)</w:t>
            </w:r>
          </w:p>
        </w:tc>
        <w:tc>
          <w:tcPr>
            <w:tcW w:w="20" w:type="dxa"/>
            <w:vAlign w:val="bottom"/>
            <w:shd w:val="clear" w:color="auto" w:fill="CCEEFF"/>
          </w:tcPr>
          <w:p>
            <w:pPr>
              <w:spacing w:after="0"/>
              <w:rPr>
                <w:sz w:val="16"/>
                <w:szCs w:val="16"/>
                <w:color w:val="auto"/>
              </w:rPr>
            </w:pPr>
          </w:p>
        </w:tc>
        <w:tc>
          <w:tcPr>
            <w:tcW w:w="7620" w:type="dxa"/>
            <w:vAlign w:val="bottom"/>
            <w:gridSpan w:val="16"/>
            <w:shd w:val="clear" w:color="auto" w:fill="CCEEFF"/>
          </w:tcPr>
          <w:p>
            <w:pPr>
              <w:spacing w:after="0" w:line="18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 xml:space="preserve">Form of (Executive)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awards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09"/>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20" w:type="dxa"/>
            <w:vAlign w:val="bottom"/>
            <w:tcBorders>
              <w:top w:val="single" w:sz="8" w:color="0000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 Omnibus Incentive Plan)** (12)</w:t>
            </w:r>
          </w:p>
        </w:tc>
        <w:tc>
          <w:tcPr>
            <w:tcW w:w="3200" w:type="dxa"/>
            <w:vAlign w:val="bottom"/>
            <w:tcBorders>
              <w:top w:val="single" w:sz="8" w:color="CCEEFF"/>
            </w:tcBorders>
            <w:gridSpan w:val="9"/>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905"/>
        </w:trPr>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8"/>
          </w:tcPr>
          <w:p>
            <w:pPr>
              <w:jc w:val="right"/>
              <w:ind w:right="600"/>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2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 (CONTINUED)</w:t>
            </w:r>
          </w:p>
        </w:tc>
        <w:tc>
          <w:tcPr>
            <w:tcW w:w="1720" w:type="dxa"/>
            <w:vAlign w:val="bottom"/>
          </w:tcPr>
          <w:p>
            <w:pPr>
              <w:spacing w:after="0"/>
              <w:rPr>
                <w:sz w:val="20"/>
                <w:szCs w:val="20"/>
                <w:color w:val="auto"/>
              </w:rPr>
            </w:pPr>
          </w:p>
        </w:tc>
      </w:tr>
      <w:tr>
        <w:trPr>
          <w:trHeight w:val="405"/>
        </w:trPr>
        <w:tc>
          <w:tcPr>
            <w:tcW w:w="1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76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r>
      <w:tr>
        <w:trPr>
          <w:trHeight w:val="34"/>
        </w:trPr>
        <w:tc>
          <w:tcPr>
            <w:tcW w:w="10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Digi International Inc. 2016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(13)</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0000FF"/>
            </w:tcBorders>
            <w:shd w:val="clear" w:color="auto" w:fill="CCEEFF"/>
          </w:tcPr>
          <w:p>
            <w:pPr>
              <w:spacing w:after="0"/>
              <w:rPr>
                <w:sz w:val="18"/>
                <w:szCs w:val="18"/>
                <w:color w:val="auto"/>
              </w:rPr>
            </w:pPr>
          </w:p>
        </w:tc>
        <w:tc>
          <w:tcPr>
            <w:tcW w:w="158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(e)(i)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 xml:space="preserve">Form of (Executive)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awards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09"/>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2016 Omnibus Incentive Plan)** (14)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(e)(ii)</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 xml:space="preserve">Form of (Employee)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awards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60" w:type="dxa"/>
            <w:vAlign w:val="bottom"/>
            <w:tcBorders>
              <w:top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 Omnibus Incentive Plan)** (15)</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(e)(iii)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 xml:space="preserve">Form of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09"/>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Inc. 2016 Omnibus Incentive Plan)** (16)</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(f)</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Digi International Inc. 2017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(17)</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0000FF"/>
            </w:tcBorders>
            <w:shd w:val="clear" w:color="auto" w:fill="CCEEFF"/>
          </w:tcPr>
          <w:p>
            <w:pPr>
              <w:spacing w:after="0"/>
              <w:rPr>
                <w:sz w:val="18"/>
                <w:szCs w:val="18"/>
                <w:color w:val="auto"/>
              </w:rPr>
            </w:pPr>
          </w:p>
        </w:tc>
        <w:tc>
          <w:tcPr>
            <w:tcW w:w="158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(f)(i)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 xml:space="preserve">Form of (Executive)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awards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2017 Omnibus Incentive Plan)** (18)</w:t>
            </w:r>
          </w:p>
        </w:tc>
        <w:tc>
          <w:tcPr>
            <w:tcW w:w="11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(f)(ii)</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 xml:space="preserve">Form of (Employee)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awards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60" w:type="dxa"/>
            <w:vAlign w:val="bottom"/>
            <w:tcBorders>
              <w:top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 Omnibus Incentive Plan)** (19)</w:t>
            </w:r>
          </w:p>
        </w:tc>
        <w:tc>
          <w:tcPr>
            <w:tcW w:w="11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(f)(iii)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 xml:space="preserve">Form of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Inc. 2017 Omnibus Incentive Plan)** (20)</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(g)</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Digi International Inc. 2018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(21)</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09"/>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0000FF"/>
            </w:tcBorders>
            <w:shd w:val="clear" w:color="auto" w:fill="CCEEFF"/>
          </w:tcPr>
          <w:p>
            <w:pPr>
              <w:spacing w:after="0"/>
              <w:rPr>
                <w:sz w:val="18"/>
                <w:szCs w:val="18"/>
                <w:color w:val="auto"/>
              </w:rPr>
            </w:pPr>
          </w:p>
        </w:tc>
        <w:tc>
          <w:tcPr>
            <w:tcW w:w="158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(g)(i)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 xml:space="preserve">Form of (Director)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2018 Omnibus Incentive Plan)** (22)</w:t>
            </w:r>
          </w:p>
        </w:tc>
        <w:tc>
          <w:tcPr>
            <w:tcW w:w="130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(g)(ii)</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 xml:space="preserve">Form of (Executive)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09"/>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0000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 Omnibus Incentive Plan)** (23)</w:t>
            </w:r>
          </w:p>
        </w:tc>
        <w:tc>
          <w:tcPr>
            <w:tcW w:w="1180" w:type="dxa"/>
            <w:vAlign w:val="bottom"/>
            <w:tcBorders>
              <w:top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(g)(iii)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 xml:space="preserve">Form of (Employee)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2018 Omnibus Incentive Plan)** (24)</w:t>
            </w:r>
          </w:p>
        </w:tc>
        <w:tc>
          <w:tcPr>
            <w:tcW w:w="1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(g)(iv)</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 xml:space="preserve">Form of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720" w:type="dxa"/>
            <w:vAlign w:val="bottom"/>
            <w:tcBorders>
              <w:top w:val="single" w:sz="8" w:color="0000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Inc. 2018 Omnibus Incentive Plan)** (25)</w:t>
            </w: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(h)</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Digi International Inc. 2019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(26)</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Borders>
              <w:top w:val="single" w:sz="8" w:color="0000FF"/>
            </w:tcBorders>
          </w:tcPr>
          <w:p>
            <w:pPr>
              <w:spacing w:after="0"/>
              <w:rPr>
                <w:sz w:val="18"/>
                <w:szCs w:val="18"/>
                <w:color w:val="auto"/>
              </w:rPr>
            </w:pPr>
          </w:p>
        </w:tc>
        <w:tc>
          <w:tcPr>
            <w:tcW w:w="1580" w:type="dxa"/>
            <w:vAlign w:val="bottom"/>
            <w:tcBorders>
              <w:top w:val="single" w:sz="8" w:color="0000FF"/>
            </w:tcBorders>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(h)(i)</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 xml:space="preserve">Form of (Director)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09"/>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0000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Omnibus Incentive Plan)** (27)</w:t>
            </w:r>
          </w:p>
        </w:tc>
        <w:tc>
          <w:tcPr>
            <w:tcW w:w="1300" w:type="dxa"/>
            <w:vAlign w:val="bottom"/>
            <w:tcBorders>
              <w:top w:val="single" w:sz="8" w:color="CCEEFF"/>
            </w:tcBorders>
            <w:gridSpan w:val="4"/>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(h)(ii)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 xml:space="preserve">Form of (Executive)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2019 Omnibus Incentive Plan)** (28)</w:t>
            </w:r>
          </w:p>
        </w:tc>
        <w:tc>
          <w:tcPr>
            <w:tcW w:w="11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(h)(iii)</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 xml:space="preserve">Form of (Employee)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60" w:type="dxa"/>
            <w:vAlign w:val="bottom"/>
            <w:tcBorders>
              <w:top w:val="single" w:sz="8" w:color="0000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Omnibus Incentive Plan)** (29)</w:t>
            </w:r>
          </w:p>
        </w:tc>
        <w:tc>
          <w:tcPr>
            <w:tcW w:w="116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(h)(iv)</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 xml:space="preserve">Form of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Inc. 2019 Omnibus Incentive Plan)** (30)</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Digi International Inc. 2020 Omnibus Incentive Plan</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(31)</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0000FF"/>
            </w:tcBorders>
            <w:shd w:val="clear" w:color="auto" w:fill="CCEEFF"/>
          </w:tcPr>
          <w:p>
            <w:pPr>
              <w:spacing w:after="0"/>
              <w:rPr>
                <w:sz w:val="18"/>
                <w:szCs w:val="18"/>
                <w:color w:val="auto"/>
              </w:rPr>
            </w:pPr>
          </w:p>
        </w:tc>
        <w:tc>
          <w:tcPr>
            <w:tcW w:w="158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(i)(i)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 xml:space="preserve">Form of (Director)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2020 Omnibus Incentive Plan)** (32)</w:t>
            </w:r>
          </w:p>
        </w:tc>
        <w:tc>
          <w:tcPr>
            <w:tcW w:w="130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(i)(ii)</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 xml:space="preserve">Form of (Executive)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0000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 Omnibus Incentive Plan)** (33)</w:t>
            </w:r>
          </w:p>
        </w:tc>
        <w:tc>
          <w:tcPr>
            <w:tcW w:w="1180" w:type="dxa"/>
            <w:vAlign w:val="bottom"/>
            <w:tcBorders>
              <w:top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(i)(iii)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 xml:space="preserve">Form of (Employee) Restricted Stock Unit Award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 International Inc.</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auto"/>
              </w:rPr>
              <w:t>2020 Omnibus Incentive Plan)** (34)</w:t>
            </w:r>
          </w:p>
        </w:tc>
        <w:tc>
          <w:tcPr>
            <w:tcW w:w="1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(i)(iv)</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 xml:space="preserve">Form of (Executive)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0000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Inc. 2020 Omnibus Incentive Plan)** (35)</w:t>
            </w: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(i)(v)</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 xml:space="preserve">Form of (Employee) Notice of Grant of Stock Options and Option Agreement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grants under Digi</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10"/>
        </w:trPr>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International Inc. 2020 Omnibus Incentive Plan)** (36)</w:t>
            </w:r>
          </w:p>
        </w:tc>
        <w:tc>
          <w:tcPr>
            <w:tcW w:w="158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shd w:val="clear" w:color="auto" w:fill="CCEEFF"/>
          </w:tcPr>
          <w:p>
            <w:pPr>
              <w:ind w:left="60"/>
              <w:spacing w:after="0" w:line="189" w:lineRule="exact"/>
              <w:rPr>
                <w:sz w:val="20"/>
                <w:szCs w:val="20"/>
                <w:color w:val="auto"/>
              </w:rPr>
            </w:pPr>
            <w:r>
              <w:rPr>
                <w:rFonts w:ascii="Times New Roman" w:cs="Times New Roman" w:eastAsia="Times New Roman" w:hAnsi="Times New Roman"/>
                <w:sz w:val="18"/>
                <w:szCs w:val="18"/>
                <w:color w:val="auto"/>
              </w:rPr>
              <w:t>(j)</w:t>
            </w:r>
          </w:p>
        </w:tc>
        <w:tc>
          <w:tcPr>
            <w:tcW w:w="7640" w:type="dxa"/>
            <w:vAlign w:val="bottom"/>
            <w:gridSpan w:val="11"/>
            <w:shd w:val="clear" w:color="auto" w:fill="CCEEFF"/>
          </w:tcPr>
          <w:p>
            <w:pPr>
              <w:spacing w:after="0" w:line="18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Digi International Inc. 2021 Omnibus Incentive Plan</w:t>
              </w:r>
            </w:hyperlink>
            <w:r>
              <w:rPr>
                <w:rFonts w:ascii="Times New Roman" w:cs="Times New Roman" w:eastAsia="Times New Roman" w:hAnsi="Times New Roman"/>
                <w:sz w:val="18"/>
                <w:szCs w:val="18"/>
                <w:color w:val="000000"/>
              </w:rPr>
              <w:t>**(37)</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209"/>
        </w:trPr>
        <w:tc>
          <w:tcPr>
            <w:tcW w:w="10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0000FF"/>
            </w:tcBorders>
            <w:shd w:val="clear" w:color="auto" w:fill="CCEEFF"/>
          </w:tcPr>
          <w:p>
            <w:pPr>
              <w:spacing w:after="0"/>
              <w:rPr>
                <w:sz w:val="18"/>
                <w:szCs w:val="18"/>
                <w:color w:val="auto"/>
              </w:rPr>
            </w:pPr>
          </w:p>
        </w:tc>
        <w:tc>
          <w:tcPr>
            <w:tcW w:w="158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r>
      <w:tr>
        <w:trPr>
          <w:trHeight w:val="189"/>
        </w:trPr>
        <w:tc>
          <w:tcPr>
            <w:tcW w:w="10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10</w:t>
            </w:r>
          </w:p>
        </w:tc>
        <w:tc>
          <w:tcPr>
            <w:tcW w:w="880" w:type="dxa"/>
            <w:vAlign w:val="bottom"/>
            <w:gridSpan w:val="2"/>
          </w:tcPr>
          <w:p>
            <w:pPr>
              <w:ind w:left="60"/>
              <w:spacing w:after="0" w:line="189" w:lineRule="exact"/>
              <w:rPr>
                <w:sz w:val="20"/>
                <w:szCs w:val="20"/>
                <w:color w:val="auto"/>
              </w:rPr>
            </w:pPr>
            <w:r>
              <w:rPr>
                <w:rFonts w:ascii="Times New Roman" w:cs="Times New Roman" w:eastAsia="Times New Roman" w:hAnsi="Times New Roman"/>
                <w:sz w:val="18"/>
                <w:szCs w:val="18"/>
                <w:color w:val="auto"/>
              </w:rPr>
              <w:t>(j)(i)</w:t>
            </w:r>
          </w:p>
        </w:tc>
        <w:tc>
          <w:tcPr>
            <w:tcW w:w="7640" w:type="dxa"/>
            <w:vAlign w:val="bottom"/>
            <w:gridSpan w:val="11"/>
          </w:tcPr>
          <w:p>
            <w:pPr>
              <w:spacing w:after="0" w:line="18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Form of (Director) Restricted Stock Unit Award Agreement (for grants under Digi International Inc.</w:t>
              </w:r>
            </w:hyperlink>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r>
      <w:tr>
        <w:trPr>
          <w:trHeight w:val="155"/>
        </w:trPr>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2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2021 Omnibus Incentive Plan)</w:t>
              </w:r>
              <w:r>
                <w:rPr>
                  <w:rFonts w:ascii="Times New Roman" w:cs="Times New Roman" w:eastAsia="Times New Roman" w:hAnsi="Times New Roman"/>
                  <w:sz w:val="18"/>
                  <w:szCs w:val="18"/>
                  <w:color w:val="000000"/>
                </w:rPr>
                <w:t>** (38)</w:t>
              </w:r>
            </w:hyperlink>
          </w:p>
        </w:tc>
        <w:tc>
          <w:tcPr>
            <w:tcW w:w="420" w:type="dxa"/>
            <w:vAlign w:val="bottom"/>
            <w:gridSpan w:val="2"/>
          </w:tcPr>
          <w:p>
            <w:pPr>
              <w:spacing w:after="0"/>
              <w:rPr>
                <w:sz w:val="13"/>
                <w:szCs w:val="13"/>
                <w:color w:val="auto"/>
              </w:rPr>
            </w:pPr>
          </w:p>
        </w:tc>
        <w:tc>
          <w:tcPr>
            <w:tcW w:w="17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r>
      <w:tr>
        <w:trPr>
          <w:trHeight w:val="20"/>
        </w:trPr>
        <w:tc>
          <w:tcPr>
            <w:tcW w:w="1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1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3"/>
        </w:trPr>
        <w:tc>
          <w:tcPr>
            <w:tcW w:w="952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 (CONTINUED)</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76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c>
          <w:tcPr>
            <w:tcW w:w="0" w:type="dxa"/>
            <w:vAlign w:val="bottom"/>
          </w:tcPr>
          <w:p>
            <w:pPr>
              <w:spacing w:after="0"/>
              <w:rPr>
                <w:sz w:val="1"/>
                <w:szCs w:val="1"/>
                <w:color w:val="auto"/>
              </w:rPr>
            </w:pPr>
          </w:p>
        </w:tc>
      </w:tr>
      <w:tr>
        <w:trPr>
          <w:trHeight w:val="34"/>
        </w:trPr>
        <w:tc>
          <w:tcPr>
            <w:tcW w:w="10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(j)(ii)</w:t>
            </w:r>
          </w:p>
        </w:tc>
        <w:tc>
          <w:tcPr>
            <w:tcW w:w="762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Form of (Executive) Restricted Stock Unit Award Agreement (for grants under Digi International Inc.</w:t>
              </w:r>
            </w:hyperlink>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7320" w:type="dxa"/>
            <w:vAlign w:val="bottom"/>
            <w:tcBorders>
              <w:top w:val="single" w:sz="8" w:color="0000FF"/>
            </w:tcBorders>
            <w:gridSpan w:val="25"/>
            <w:shd w:val="clear" w:color="auto" w:fill="CCEEFF"/>
          </w:tcPr>
          <w:p>
            <w:pPr>
              <w:spacing w:after="0" w:line="15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2021 Omnibus Incentive Plan)</w:t>
              </w:r>
              <w:r>
                <w:rPr>
                  <w:rFonts w:ascii="Times New Roman" w:cs="Times New Roman" w:eastAsia="Times New Roman" w:hAnsi="Times New Roman"/>
                  <w:sz w:val="18"/>
                  <w:szCs w:val="18"/>
                  <w:color w:val="000000"/>
                </w:rPr>
                <w:t>** (39)</w:t>
              </w:r>
            </w:hyperlink>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gridSpan w:val="2"/>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(j)(iii)</w:t>
            </w:r>
          </w:p>
        </w:tc>
        <w:tc>
          <w:tcPr>
            <w:tcW w:w="7620" w:type="dxa"/>
            <w:vAlign w:val="bottom"/>
            <w:gridSpan w:val="28"/>
          </w:tcPr>
          <w:p>
            <w:pPr>
              <w:spacing w:after="0" w:line="18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Form of (Employee) Restricted Stock Unit Award Agreement (for grants under Digi International Inc.</w:t>
              </w:r>
            </w:hyperlink>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3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2021 Omnibus Incentive Plan)</w:t>
              </w:r>
              <w:r>
                <w:rPr>
                  <w:rFonts w:ascii="Times New Roman" w:cs="Times New Roman" w:eastAsia="Times New Roman" w:hAnsi="Times New Roman"/>
                  <w:sz w:val="18"/>
                  <w:szCs w:val="18"/>
                  <w:color w:val="000000"/>
                </w:rPr>
                <w:t>** (40)</w:t>
              </w:r>
            </w:hyperlink>
          </w:p>
        </w:tc>
        <w:tc>
          <w:tcPr>
            <w:tcW w:w="280" w:type="dxa"/>
            <w:vAlign w:val="bottom"/>
            <w:gridSpan w:val="2"/>
          </w:tcPr>
          <w:p>
            <w:pPr>
              <w:spacing w:after="0"/>
              <w:rPr>
                <w:sz w:val="13"/>
                <w:szCs w:val="13"/>
                <w:color w:val="auto"/>
              </w:rPr>
            </w:pPr>
          </w:p>
        </w:tc>
        <w:tc>
          <w:tcPr>
            <w:tcW w:w="17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(j)(iv)</w:t>
            </w:r>
          </w:p>
        </w:tc>
        <w:tc>
          <w:tcPr>
            <w:tcW w:w="762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(Executive) Notice of Grant of Stock Options and Option Agreement (for grants under Digi</w:t>
              </w:r>
            </w:hyperlink>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7200" w:type="dxa"/>
            <w:vAlign w:val="bottom"/>
            <w:tcBorders>
              <w:top w:val="single" w:sz="8" w:color="0000FF"/>
            </w:tcBorders>
            <w:gridSpan w:val="21"/>
            <w:shd w:val="clear" w:color="auto" w:fill="CCEEFF"/>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International Inc. 2021 Omnibus Incentive Plan)</w:t>
              </w:r>
              <w:r>
                <w:rPr>
                  <w:rFonts w:ascii="Times New Roman" w:cs="Times New Roman" w:eastAsia="Times New Roman" w:hAnsi="Times New Roman"/>
                  <w:sz w:val="18"/>
                  <w:szCs w:val="18"/>
                  <w:color w:val="000000"/>
                </w:rPr>
                <w:t>** (41)</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gridSpan w:val="4"/>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(j)(v)</w:t>
            </w:r>
          </w:p>
        </w:tc>
        <w:tc>
          <w:tcPr>
            <w:tcW w:w="7620" w:type="dxa"/>
            <w:vAlign w:val="bottom"/>
            <w:gridSpan w:val="28"/>
          </w:tcPr>
          <w:p>
            <w:pPr>
              <w:spacing w:after="0" w:line="18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Form of (Employee) Notice of Grant of Stock Options and Option Agreement (for grants under Digi</w:t>
              </w:r>
            </w:hyperlink>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International Inc. 2021 Omnibus Incentive Plan)</w:t>
              </w:r>
              <w:r>
                <w:rPr>
                  <w:rFonts w:ascii="Times New Roman" w:cs="Times New Roman" w:eastAsia="Times New Roman" w:hAnsi="Times New Roman"/>
                  <w:sz w:val="18"/>
                  <w:szCs w:val="18"/>
                  <w:color w:val="000000"/>
                </w:rPr>
                <w:t>** (42)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4"/>
          </w:tcPr>
          <w:p>
            <w:pPr>
              <w:spacing w:after="0"/>
              <w:rPr>
                <w:sz w:val="13"/>
                <w:szCs w:val="13"/>
                <w:color w:val="auto"/>
              </w:rPr>
            </w:pPr>
          </w:p>
        </w:tc>
        <w:tc>
          <w:tcPr>
            <w:tcW w:w="17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(j)(vi)</w:t>
            </w:r>
          </w:p>
        </w:tc>
        <w:tc>
          <w:tcPr>
            <w:tcW w:w="762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Form of (Executive) Performance Stock Unit Award Agreement (for grants under Digi International</w:t>
              </w:r>
            </w:hyperlink>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718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Inc. 2021 Omnibus Incentive Plan)</w:t>
              </w:r>
              <w:r>
                <w:rPr>
                  <w:rFonts w:ascii="Times New Roman" w:cs="Times New Roman" w:eastAsia="Times New Roman" w:hAnsi="Times New Roman"/>
                  <w:sz w:val="18"/>
                  <w:szCs w:val="18"/>
                  <w:color w:val="000000"/>
                </w:rPr>
                <w:t>** (43)</w:t>
              </w:r>
            </w:hyperlink>
          </w:p>
        </w:tc>
        <w:tc>
          <w:tcPr>
            <w:tcW w:w="8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gridSpan w:val="4"/>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7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(k)</w:t>
            </w:r>
          </w:p>
        </w:tc>
        <w:tc>
          <w:tcPr>
            <w:tcW w:w="7620" w:type="dxa"/>
            <w:vAlign w:val="bottom"/>
            <w:gridSpan w:val="28"/>
          </w:tcPr>
          <w:p>
            <w:pPr>
              <w:spacing w:after="0" w:line="189"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Form of indemnification agreement with directors and officers of the Company</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(44)</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(l)</w:t>
            </w:r>
          </w:p>
        </w:tc>
        <w:tc>
          <w:tcPr>
            <w:tcW w:w="762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Employment Agreement between the Company and Ronald E. Konezny dated November 26, 2014</w:t>
              </w:r>
            </w:hyperlink>
            <w:r>
              <w:rPr>
                <w:rFonts w:ascii="Times New Roman" w:cs="Times New Roman" w:eastAsia="Times New Roman" w:hAnsi="Times New Roman"/>
                <w:sz w:val="18"/>
                <w:szCs w:val="18"/>
                <w:color w:val="000000"/>
              </w:rPr>
              <w:t>**</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400" w:type="dxa"/>
            <w:vAlign w:val="bottom"/>
            <w:tcBorders>
              <w:top w:val="single" w:sz="8" w:color="0000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4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96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70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64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100" w:type="dxa"/>
            <w:vAlign w:val="bottom"/>
            <w:tcBorders>
              <w:top w:val="single" w:sz="8" w:color="0000FF"/>
            </w:tcBorders>
            <w:shd w:val="clear" w:color="auto" w:fill="CCEEFF"/>
          </w:tcPr>
          <w:p>
            <w:pPr>
              <w:spacing w:after="0"/>
              <w:rPr>
                <w:sz w:val="18"/>
                <w:szCs w:val="18"/>
                <w:color w:val="auto"/>
              </w:rPr>
            </w:pPr>
          </w:p>
        </w:tc>
        <w:tc>
          <w:tcPr>
            <w:tcW w:w="30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(m)</w:t>
            </w:r>
          </w:p>
        </w:tc>
        <w:tc>
          <w:tcPr>
            <w:tcW w:w="7620" w:type="dxa"/>
            <w:vAlign w:val="bottom"/>
            <w:gridSpan w:val="28"/>
          </w:tcPr>
          <w:p>
            <w:pPr>
              <w:spacing w:after="0" w:line="18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Offer letter with David H. Sampsell dated as of April 8, 2011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(46)</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(n)</w:t>
            </w:r>
          </w:p>
        </w:tc>
        <w:tc>
          <w:tcPr>
            <w:tcW w:w="762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Employment Agreement with Kevin C. Riley dated January 23, 2013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(47)</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09"/>
        </w:trPr>
        <w:tc>
          <w:tcPr>
            <w:tcW w:w="1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400" w:type="dxa"/>
            <w:vAlign w:val="bottom"/>
            <w:tcBorders>
              <w:top w:val="single" w:sz="8" w:color="0000FF"/>
            </w:tcBorders>
            <w:shd w:val="clear" w:color="auto" w:fill="CCEEFF"/>
          </w:tcPr>
          <w:p>
            <w:pPr>
              <w:spacing w:after="0"/>
              <w:rPr>
                <w:sz w:val="18"/>
                <w:szCs w:val="18"/>
                <w:color w:val="auto"/>
              </w:rPr>
            </w:pPr>
          </w:p>
        </w:tc>
        <w:tc>
          <w:tcPr>
            <w:tcW w:w="4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96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70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00" w:type="dxa"/>
            <w:vAlign w:val="bottom"/>
            <w:tcBorders>
              <w:top w:val="single" w:sz="8" w:color="0000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(o)</w:t>
            </w:r>
          </w:p>
        </w:tc>
        <w:tc>
          <w:tcPr>
            <w:tcW w:w="7620" w:type="dxa"/>
            <w:vAlign w:val="bottom"/>
            <w:gridSpan w:val="28"/>
          </w:tcPr>
          <w:p>
            <w:pPr>
              <w:spacing w:after="0" w:line="18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Offer letter with Michael A. Ueland dated September 27, 2016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(48)</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(p)</w:t>
            </w:r>
          </w:p>
        </w:tc>
        <w:tc>
          <w:tcPr>
            <w:tcW w:w="762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Offer letter with Michael A. Ueland dated October 29, 2018</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(49)</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09"/>
        </w:trPr>
        <w:tc>
          <w:tcPr>
            <w:tcW w:w="10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400" w:type="dxa"/>
            <w:vAlign w:val="bottom"/>
            <w:tcBorders>
              <w:top w:val="single" w:sz="8" w:color="0000FF"/>
            </w:tcBorders>
            <w:shd w:val="clear" w:color="auto" w:fill="CCEEFF"/>
          </w:tcPr>
          <w:p>
            <w:pPr>
              <w:spacing w:after="0"/>
              <w:rPr>
                <w:sz w:val="18"/>
                <w:szCs w:val="18"/>
                <w:color w:val="auto"/>
              </w:rPr>
            </w:pPr>
          </w:p>
        </w:tc>
        <w:tc>
          <w:tcPr>
            <w:tcW w:w="48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0000FF"/>
            </w:tcBorders>
            <w:shd w:val="clear" w:color="auto" w:fill="CCEEFF"/>
          </w:tcPr>
          <w:p>
            <w:pPr>
              <w:spacing w:after="0"/>
              <w:rPr>
                <w:sz w:val="18"/>
                <w:szCs w:val="18"/>
                <w:color w:val="auto"/>
              </w:rPr>
            </w:pPr>
          </w:p>
        </w:tc>
        <w:tc>
          <w:tcPr>
            <w:tcW w:w="220" w:type="dxa"/>
            <w:vAlign w:val="bottom"/>
            <w:tcBorders>
              <w:top w:val="single" w:sz="8" w:color="0000FF"/>
            </w:tcBorders>
            <w:shd w:val="clear" w:color="auto" w:fill="CCEEFF"/>
          </w:tcPr>
          <w:p>
            <w:pPr>
              <w:spacing w:after="0"/>
              <w:rPr>
                <w:sz w:val="18"/>
                <w:szCs w:val="18"/>
                <w:color w:val="auto"/>
              </w:rPr>
            </w:pPr>
          </w:p>
        </w:tc>
        <w:tc>
          <w:tcPr>
            <w:tcW w:w="960" w:type="dxa"/>
            <w:vAlign w:val="bottom"/>
            <w:tcBorders>
              <w:top w:val="single" w:sz="8" w:color="0000FF"/>
            </w:tcBorders>
            <w:shd w:val="clear" w:color="auto" w:fill="CCEEFF"/>
          </w:tcPr>
          <w:p>
            <w:pPr>
              <w:spacing w:after="0"/>
              <w:rPr>
                <w:sz w:val="18"/>
                <w:szCs w:val="18"/>
                <w:color w:val="auto"/>
              </w:rPr>
            </w:pPr>
          </w:p>
        </w:tc>
        <w:tc>
          <w:tcPr>
            <w:tcW w:w="120" w:type="dxa"/>
            <w:vAlign w:val="bottom"/>
            <w:tcBorders>
              <w:top w:val="single" w:sz="8" w:color="0000FF"/>
            </w:tcBorders>
            <w:shd w:val="clear" w:color="auto" w:fill="CCEEFF"/>
          </w:tcPr>
          <w:p>
            <w:pPr>
              <w:spacing w:after="0"/>
              <w:rPr>
                <w:sz w:val="18"/>
                <w:szCs w:val="18"/>
                <w:color w:val="auto"/>
              </w:rPr>
            </w:pPr>
          </w:p>
        </w:tc>
        <w:tc>
          <w:tcPr>
            <w:tcW w:w="700" w:type="dxa"/>
            <w:vAlign w:val="bottom"/>
            <w:tcBorders>
              <w:top w:val="single" w:sz="8" w:color="0000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(q)</w:t>
            </w:r>
          </w:p>
        </w:tc>
        <w:tc>
          <w:tcPr>
            <w:tcW w:w="7620" w:type="dxa"/>
            <w:vAlign w:val="bottom"/>
            <w:gridSpan w:val="28"/>
          </w:tcPr>
          <w:p>
            <w:pPr>
              <w:spacing w:after="0" w:line="18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Offer letter with James J. Loch dated May 1, 2019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(50)</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w:t>
            </w:r>
          </w:p>
        </w:tc>
        <w:tc>
          <w:tcPr>
            <w:tcW w:w="7620" w:type="dxa"/>
            <w:vAlign w:val="bottom"/>
            <w:gridSpan w:val="28"/>
            <w:shd w:val="clear" w:color="auto" w:fill="CCEEFF"/>
          </w:tcPr>
          <w:p>
            <w:pPr>
              <w:spacing w:after="0" w:line="189"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Third Amended and Restated Credit Agreement dated December 22, 2021, by and among Digi</w:t>
              </w:r>
            </w:hyperlink>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0" w:type="dxa"/>
            <w:vAlign w:val="bottom"/>
            <w:gridSpan w:val="7"/>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60" w:type="dxa"/>
            <w:vAlign w:val="bottom"/>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gridSpan w:val="4"/>
            <w:shd w:val="clear" w:color="auto" w:fill="CCEEFF"/>
          </w:tcPr>
          <w:p>
            <w:pPr>
              <w:spacing w:after="0" w:line="20" w:lineRule="exact"/>
              <w:rPr>
                <w:sz w:val="1"/>
                <w:szCs w:val="1"/>
                <w:color w:val="auto"/>
              </w:rPr>
            </w:pPr>
          </w:p>
        </w:tc>
        <w:tc>
          <w:tcPr>
            <w:tcW w:w="1720" w:type="dxa"/>
            <w:vAlign w:val="bottom"/>
            <w:vMerge w:val="restart"/>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line="20" w:lineRule="exact"/>
              <w:rPr>
                <w:sz w:val="1"/>
                <w:szCs w:val="1"/>
                <w:color w:val="auto"/>
              </w:rPr>
            </w:pPr>
          </w:p>
        </w:tc>
      </w:tr>
      <w:tr>
        <w:trPr>
          <w:trHeight w:val="155"/>
        </w:trPr>
        <w:tc>
          <w:tcPr>
            <w:tcW w:w="10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7620" w:type="dxa"/>
            <w:vAlign w:val="bottom"/>
            <w:gridSpan w:val="28"/>
            <w:shd w:val="clear" w:color="auto" w:fill="CCEEFF"/>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International Inc. as the Borrower, BMO Harris Bank N.A., as the administrative agent and collateral</w:t>
              </w:r>
            </w:hyperlink>
          </w:p>
        </w:tc>
        <w:tc>
          <w:tcPr>
            <w:tcW w:w="1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7280" w:type="dxa"/>
            <w:vAlign w:val="bottom"/>
            <w:tcBorders>
              <w:top w:val="single" w:sz="8" w:color="0000FF"/>
            </w:tcBorders>
            <w:gridSpan w:val="24"/>
            <w:shd w:val="clear" w:color="auto" w:fill="CCEEFF"/>
          </w:tcPr>
          <w:p>
            <w:pPr>
              <w:spacing w:after="0" w:line="169"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agent, BMO Capital Markets Corp, as the sole lead arranger and book runner, and other lenders from</w:t>
              </w:r>
            </w:hyperlink>
          </w:p>
        </w:tc>
        <w:tc>
          <w:tcPr>
            <w:tcW w:w="340" w:type="dxa"/>
            <w:vAlign w:val="bottom"/>
            <w:tcBorders>
              <w:top w:val="single" w:sz="8" w:color="CCEEFF"/>
            </w:tcBorders>
            <w:gridSpan w:val="4"/>
            <w:shd w:val="clear" w:color="auto" w:fill="CCEEFF"/>
          </w:tcPr>
          <w:p>
            <w:pPr>
              <w:spacing w:after="0"/>
              <w:rPr>
                <w:sz w:val="14"/>
                <w:szCs w:val="14"/>
                <w:color w:val="auto"/>
              </w:rPr>
            </w:pPr>
          </w:p>
        </w:tc>
        <w:tc>
          <w:tcPr>
            <w:tcW w:w="17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right w:val="single" w:sz="8" w:color="CCEEFF"/>
            </w:tcBorders>
            <w:shd w:val="clear" w:color="auto" w:fill="CCEEFF"/>
          </w:tcPr>
          <w:p>
            <w:pPr>
              <w:spacing w:after="0"/>
              <w:rPr>
                <w:sz w:val="13"/>
                <w:szCs w:val="13"/>
                <w:color w:val="auto"/>
              </w:rPr>
            </w:pPr>
          </w:p>
        </w:tc>
        <w:tc>
          <w:tcPr>
            <w:tcW w:w="7260" w:type="dxa"/>
            <w:vAlign w:val="bottom"/>
            <w:tcBorders>
              <w:top w:val="single" w:sz="8" w:color="0000FF"/>
            </w:tcBorders>
            <w:gridSpan w:val="23"/>
            <w:shd w:val="clear" w:color="auto" w:fill="CCEEFF"/>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 xml:space="preserve">time-to-time party thereto. </w:t>
              </w:r>
              <w:r>
                <w:rPr>
                  <w:rFonts w:ascii="Times New Roman" w:cs="Times New Roman" w:eastAsia="Times New Roman" w:hAnsi="Times New Roman"/>
                  <w:sz w:val="18"/>
                  <w:szCs w:val="18"/>
                  <w:color w:val="000000"/>
                </w:rPr>
                <w:t>(51)</w:t>
              </w:r>
            </w:hyperlink>
          </w:p>
        </w:tc>
        <w:tc>
          <w:tcPr>
            <w:tcW w:w="360" w:type="dxa"/>
            <w:vAlign w:val="bottom"/>
            <w:tcBorders>
              <w:top w:val="single" w:sz="8" w:color="CCEEFF"/>
            </w:tcBorders>
            <w:gridSpan w:val="5"/>
            <w:shd w:val="clear" w:color="auto" w:fill="CCEEFF"/>
          </w:tcPr>
          <w:p>
            <w:pPr>
              <w:spacing w:after="0"/>
              <w:rPr>
                <w:sz w:val="13"/>
                <w:szCs w:val="13"/>
                <w:color w:val="auto"/>
              </w:rPr>
            </w:pPr>
          </w:p>
        </w:tc>
        <w:tc>
          <w:tcPr>
            <w:tcW w:w="17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10</w:t>
            </w:r>
          </w:p>
        </w:tc>
        <w:tc>
          <w:tcPr>
            <w:tcW w:w="8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(s)</w:t>
            </w:r>
          </w:p>
        </w:tc>
        <w:tc>
          <w:tcPr>
            <w:tcW w:w="7620" w:type="dxa"/>
            <w:vAlign w:val="bottom"/>
            <w:gridSpan w:val="28"/>
          </w:tcPr>
          <w:p>
            <w:pPr>
              <w:spacing w:after="0" w:line="18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 xml:space="preserve">Digi International Inc. 2021 Omnibus Incentive Plan, as amended and restated </w:t>
              </w:r>
            </w:hyperlink>
            <w:r>
              <w:rPr>
                <w:rFonts w:ascii="Times New Roman" w:cs="Times New Roman" w:eastAsia="Times New Roman" w:hAnsi="Times New Roman"/>
                <w:sz w:val="18"/>
                <w:szCs w:val="18"/>
                <w:color w:val="000000"/>
              </w:rPr>
              <w:t>(52)</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Incorporated by</w:t>
            </w:r>
          </w:p>
        </w:tc>
        <w:tc>
          <w:tcPr>
            <w:tcW w:w="0" w:type="dxa"/>
            <w:vAlign w:val="bottom"/>
          </w:tcPr>
          <w:p>
            <w:pPr>
              <w:spacing w:after="0"/>
              <w:rPr>
                <w:sz w:val="1"/>
                <w:szCs w:val="1"/>
                <w:color w:val="auto"/>
              </w:rPr>
            </w:pPr>
          </w:p>
        </w:tc>
      </w:tr>
      <w:tr>
        <w:trPr>
          <w:trHeight w:val="210"/>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Reference</w:t>
            </w:r>
          </w:p>
        </w:tc>
        <w:tc>
          <w:tcPr>
            <w:tcW w:w="0" w:type="dxa"/>
            <w:vAlign w:val="bottom"/>
          </w:tcPr>
          <w:p>
            <w:pPr>
              <w:spacing w:after="0"/>
              <w:rPr>
                <w:sz w:val="1"/>
                <w:szCs w:val="1"/>
                <w:color w:val="auto"/>
              </w:rPr>
            </w:pPr>
          </w:p>
        </w:tc>
      </w:tr>
      <w:tr>
        <w:trPr>
          <w:trHeight w:val="210"/>
        </w:trPr>
        <w:tc>
          <w:tcPr>
            <w:tcW w:w="1040" w:type="dxa"/>
            <w:vAlign w:val="bottom"/>
            <w:tcBorders>
              <w:bottom w:val="single" w:sz="8" w:color="CCEEFF"/>
            </w:tcBorders>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21</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2080" w:type="dxa"/>
            <w:vAlign w:val="bottom"/>
            <w:tcBorders>
              <w:bottom w:val="single" w:sz="8" w:color="0000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Subsidiaries of the Company</w:t>
            </w:r>
          </w:p>
        </w:tc>
        <w:tc>
          <w:tcPr>
            <w:tcW w:w="5540" w:type="dxa"/>
            <w:vAlign w:val="bottom"/>
            <w:tcBorders>
              <w:bottom w:val="single" w:sz="8" w:color="CCEEFF"/>
            </w:tcBorders>
            <w:gridSpan w:val="24"/>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23</w:t>
            </w: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2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Consent of Grant Thornton LLP</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Borders>
              <w:bottom w:val="single" w:sz="8" w:color="CCEEFF"/>
            </w:tcBorders>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24</w:t>
            </w:r>
          </w:p>
        </w:tc>
        <w:tc>
          <w:tcPr>
            <w:tcW w:w="2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140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Powers of Attorney</w:t>
            </w:r>
          </w:p>
        </w:tc>
        <w:tc>
          <w:tcPr>
            <w:tcW w:w="6220" w:type="dxa"/>
            <w:vAlign w:val="bottom"/>
            <w:tcBorders>
              <w:bottom w:val="single" w:sz="8" w:color="CCEEFF"/>
            </w:tcBorders>
            <w:gridSpan w:val="27"/>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189"/>
        </w:trPr>
        <w:tc>
          <w:tcPr>
            <w:tcW w:w="1040" w:type="dxa"/>
            <w:vAlign w:val="bottom"/>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31</w:t>
            </w:r>
          </w:p>
        </w:tc>
        <w:tc>
          <w:tcPr>
            <w:tcW w:w="86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auto"/>
              </w:rPr>
              <w:t>(a)</w:t>
            </w:r>
          </w:p>
        </w:tc>
        <w:tc>
          <w:tcPr>
            <w:tcW w:w="762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Chief Executive Officer</w:t>
            </w:r>
          </w:p>
        </w:tc>
        <w:tc>
          <w:tcPr>
            <w:tcW w:w="17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shd w:val="clear" w:color="auto" w:fill="CCEEFF"/>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31</w:t>
            </w:r>
          </w:p>
        </w:tc>
        <w:tc>
          <w:tcPr>
            <w:tcW w:w="860" w:type="dxa"/>
            <w:vAlign w:val="bottom"/>
            <w:tcBorders>
              <w:right w:val="single" w:sz="8" w:color="CCEEFF"/>
            </w:tcBorders>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(b)</w:t>
            </w:r>
          </w:p>
        </w:tc>
        <w:tc>
          <w:tcPr>
            <w:tcW w:w="762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c>
          <w:tcPr>
            <w:tcW w:w="172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189"/>
        </w:trPr>
        <w:tc>
          <w:tcPr>
            <w:tcW w:w="1040" w:type="dxa"/>
            <w:vAlign w:val="bottom"/>
            <w:tcBorders>
              <w:top w:val="single" w:sz="8" w:color="CCEEFF"/>
            </w:tcBorders>
          </w:tcPr>
          <w:p>
            <w:pPr>
              <w:jc w:val="center"/>
              <w:ind w:left="610"/>
              <w:spacing w:after="0" w:line="189" w:lineRule="exact"/>
              <w:rPr>
                <w:sz w:val="20"/>
                <w:szCs w:val="20"/>
                <w:color w:val="auto"/>
              </w:rPr>
            </w:pPr>
            <w:r>
              <w:rPr>
                <w:rFonts w:ascii="Times New Roman" w:cs="Times New Roman" w:eastAsia="Times New Roman" w:hAnsi="Times New Roman"/>
                <w:sz w:val="18"/>
                <w:szCs w:val="18"/>
                <w:color w:val="auto"/>
                <w:w w:val="99"/>
              </w:rPr>
              <w:t>32</w:t>
            </w:r>
          </w:p>
        </w:tc>
        <w:tc>
          <w:tcPr>
            <w:tcW w:w="2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700" w:type="dxa"/>
            <w:vAlign w:val="bottom"/>
            <w:tcBorders>
              <w:top w:val="single" w:sz="8" w:color="0000FF"/>
            </w:tcBorders>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Section 1350 Certification</w:t>
            </w:r>
          </w:p>
        </w:tc>
        <w:tc>
          <w:tcPr>
            <w:tcW w:w="2920" w:type="dxa"/>
            <w:vAlign w:val="bottom"/>
            <w:tcBorders>
              <w:top w:val="single" w:sz="8" w:color="CCEEFF"/>
            </w:tcBorders>
            <w:gridSpan w:val="15"/>
          </w:tcPr>
          <w:p>
            <w:pPr>
              <w:spacing w:after="0"/>
              <w:rPr>
                <w:sz w:val="16"/>
                <w:szCs w:val="16"/>
                <w:color w:val="auto"/>
              </w:rPr>
            </w:pPr>
          </w:p>
        </w:tc>
        <w:tc>
          <w:tcPr>
            <w:tcW w:w="172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5740" w:type="dxa"/>
            <w:vAlign w:val="bottom"/>
            <w:gridSpan w:val="26"/>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jc w:val="center"/>
              <w:ind w:left="63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2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auto"/>
              </w:rPr>
              <w:t>The following financial statements from the Annual Report on Form 10-K for the year ended</w:t>
            </w:r>
          </w:p>
        </w:tc>
        <w:tc>
          <w:tcPr>
            <w:tcW w:w="17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Filed Electronically</w:t>
            </w:r>
          </w:p>
        </w:tc>
        <w:tc>
          <w:tcPr>
            <w:tcW w:w="0" w:type="dxa"/>
            <w:vAlign w:val="bottom"/>
          </w:tcPr>
          <w:p>
            <w:pPr>
              <w:spacing w:after="0"/>
              <w:rPr>
                <w:sz w:val="1"/>
                <w:szCs w:val="1"/>
                <w:color w:val="auto"/>
              </w:rPr>
            </w:pPr>
          </w:p>
        </w:tc>
      </w:tr>
      <w:tr>
        <w:trPr>
          <w:trHeight w:val="204"/>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20" w:type="dxa"/>
            <w:vAlign w:val="bottom"/>
            <w:gridSpan w:val="28"/>
          </w:tcPr>
          <w:p>
            <w:pPr>
              <w:spacing w:after="0" w:line="204" w:lineRule="exact"/>
              <w:rPr>
                <w:sz w:val="20"/>
                <w:szCs w:val="20"/>
                <w:color w:val="auto"/>
              </w:rPr>
            </w:pPr>
            <w:r>
              <w:rPr>
                <w:rFonts w:ascii="Times New Roman" w:cs="Times New Roman" w:eastAsia="Times New Roman" w:hAnsi="Times New Roman"/>
                <w:sz w:val="18"/>
                <w:szCs w:val="18"/>
                <w:color w:val="auto"/>
              </w:rPr>
              <w:t>September 30, 2022, as filed with the Security and Exchange Commission, formatted in iXBRL (Inline</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7200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8">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jc w:val="both"/>
        <w:ind w:left="1880" w:right="1900"/>
        <w:spacing w:after="0" w:line="220" w:lineRule="auto"/>
        <w:rPr>
          <w:sz w:val="20"/>
          <w:szCs w:val="20"/>
          <w:color w:val="auto"/>
        </w:rPr>
      </w:pPr>
      <w:r>
        <w:rPr>
          <w:rFonts w:ascii="Times New Roman" w:cs="Times New Roman" w:eastAsia="Times New Roman" w:hAnsi="Times New Roman"/>
          <w:sz w:val="17"/>
          <w:szCs w:val="17"/>
          <w:color w:val="auto"/>
        </w:rPr>
        <w:t>eXtensible Business Reporting Language): (i) Consolidated Statements of Operations, (ii) Consolidated Statements of Comprehensive Income, (iii) Consolidated Balance Sheets, (iv) Consolidated Statements of Cash Flows, (v) Consolidated Statements of Stockholders' Equity, and (vi) Notes to Consolidated</w:t>
      </w:r>
    </w:p>
    <w:p>
      <w:pPr>
        <w:spacing w:after="0" w:line="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 (CONTINUED)</w:t>
            </w:r>
          </w:p>
        </w:tc>
        <w:tc>
          <w:tcPr>
            <w:tcW w:w="1720" w:type="dxa"/>
            <w:vAlign w:val="bottom"/>
          </w:tcPr>
          <w:p>
            <w:pPr>
              <w:spacing w:after="0"/>
              <w:rPr>
                <w:sz w:val="20"/>
                <w:szCs w:val="20"/>
                <w:color w:val="auto"/>
              </w:rPr>
            </w:pPr>
          </w:p>
        </w:tc>
      </w:tr>
      <w:tr>
        <w:trPr>
          <w:trHeight w:val="256"/>
        </w:trPr>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Method of Filing</w:t>
            </w:r>
          </w:p>
        </w:tc>
      </w:tr>
      <w:tr>
        <w:trPr>
          <w:trHeight w:val="34"/>
        </w:trPr>
        <w:tc>
          <w:tcPr>
            <w:tcW w:w="17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tcBorders>
          </w:tcPr>
          <w:p>
            <w:pPr>
              <w:spacing w:after="0"/>
              <w:rPr>
                <w:sz w:val="2"/>
                <w:szCs w:val="2"/>
                <w:color w:val="auto"/>
              </w:rPr>
            </w:pPr>
          </w:p>
        </w:tc>
      </w:tr>
      <w:tr>
        <w:trPr>
          <w:trHeight w:val="176"/>
        </w:trPr>
        <w:tc>
          <w:tcPr>
            <w:tcW w:w="1760" w:type="dxa"/>
            <w:vAlign w:val="bottom"/>
            <w:shd w:val="clear" w:color="auto" w:fill="CCEEFF"/>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5"/>
                <w:szCs w:val="15"/>
                <w:color w:val="auto"/>
              </w:rPr>
            </w:pPr>
          </w:p>
        </w:tc>
        <w:tc>
          <w:tcPr>
            <w:tcW w:w="76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cover page from Digi International Inc.'s Annual Report on Form 10-K for the year ended</w:t>
            </w:r>
          </w:p>
        </w:tc>
        <w:tc>
          <w:tcPr>
            <w:tcW w:w="172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Filed Electronically</w:t>
            </w:r>
          </w:p>
        </w:tc>
      </w:tr>
      <w:tr>
        <w:trPr>
          <w:trHeight w:val="243"/>
        </w:trPr>
        <w:tc>
          <w:tcPr>
            <w:tcW w:w="1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2022 is formatted in iXBRL (included in Exhibit 101).</w:t>
            </w:r>
          </w:p>
        </w:tc>
        <w:tc>
          <w:tcPr>
            <w:tcW w:w="1720" w:type="dxa"/>
            <w:vAlign w:val="bottom"/>
            <w:shd w:val="clear" w:color="auto" w:fill="CCEEFF"/>
          </w:tcPr>
          <w:p>
            <w:pPr>
              <w:spacing w:after="0"/>
              <w:rPr>
                <w:sz w:val="21"/>
                <w:szCs w:val="2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7" w:lineRule="exact"/>
        <w:rPr>
          <w:sz w:val="20"/>
          <w:szCs w:val="20"/>
          <w:color w:val="auto"/>
        </w:rPr>
      </w:pPr>
    </w:p>
    <w:p>
      <w:pPr>
        <w:ind w:left="420" w:hanging="372"/>
        <w:spacing w:after="0" w:line="250" w:lineRule="auto"/>
        <w:tabs>
          <w:tab w:leader="none" w:pos="37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in accordance with Item 601(b)(2) of Regulation S-K. A copy of any omitted schedule and/or exhibit will be furnished to the Securities and Exchange Commission upon request.</w:t>
      </w:r>
    </w:p>
    <w:p>
      <w:pPr>
        <w:spacing w:after="0" w:line="1" w:lineRule="exact"/>
        <w:rPr>
          <w:sz w:val="20"/>
          <w:szCs w:val="20"/>
          <w:color w:val="auto"/>
        </w:rPr>
      </w:pPr>
    </w:p>
    <w:p>
      <w:pPr>
        <w:ind w:left="400" w:hanging="352"/>
        <w:spacing w:after="0"/>
        <w:tabs>
          <w:tab w:leader="none" w:pos="4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compensatory contract or arrangement required to be included as an exhibit to this Annual Report on Form 10-K.</w:t>
      </w:r>
    </w:p>
    <w:p>
      <w:pPr>
        <w:spacing w:after="0" w:line="31" w:lineRule="exact"/>
        <w:rPr>
          <w:rFonts w:ascii="Times New Roman" w:cs="Times New Roman" w:eastAsia="Times New Roman" w:hAnsi="Times New Roman"/>
          <w:sz w:val="18"/>
          <w:szCs w:val="18"/>
          <w:color w:val="auto"/>
        </w:rPr>
      </w:pPr>
    </w:p>
    <w:p>
      <w:pPr>
        <w:ind w:left="420" w:right="300" w:hanging="372"/>
        <w:spacing w:after="0" w:line="344" w:lineRule="auto"/>
        <w:tabs>
          <w:tab w:leader="none" w:pos="37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pursuant to Item 601(a)(5) of Regulation S-K. A copy of any omitted schedule will be furnished to the Securities and Exchange Commission upon request.</w:t>
      </w:r>
    </w:p>
    <w:p>
      <w:pPr>
        <w:spacing w:after="0" w:line="136"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2.1 to Form 8-K filed November 1, 2021.</w:t>
      </w:r>
    </w:p>
    <w:p>
      <w:pPr>
        <w:spacing w:after="0" w:line="27" w:lineRule="exact"/>
        <w:rPr>
          <w:rFonts w:ascii="Times New Roman" w:cs="Times New Roman" w:eastAsia="Times New Roman" w:hAnsi="Times New Roman"/>
          <w:sz w:val="18"/>
          <w:szCs w:val="18"/>
          <w:color w:val="auto"/>
        </w:rPr>
      </w:pPr>
    </w:p>
    <w:p>
      <w:pPr>
        <w:ind w:left="440" w:hanging="392"/>
        <w:spacing w:after="0" w:line="207" w:lineRule="exact"/>
        <w:tabs>
          <w:tab w:leader="none" w:pos="4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3(a)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September 30, 1993 (File no. 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17972).</w:t>
      </w:r>
    </w:p>
    <w:p>
      <w:pPr>
        <w:spacing w:after="0" w:line="10"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3.1 to Form 8-K filed April 30, 2020.</w:t>
      </w:r>
    </w:p>
    <w:p>
      <w:pPr>
        <w:spacing w:after="0" w:line="7"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 to Form 10-Q filed for the quarter ended March 31, 2020.</w:t>
      </w:r>
    </w:p>
    <w:p>
      <w:pPr>
        <w:spacing w:after="0" w:line="9"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 to Form 8-K filed January 29, 2010.</w:t>
      </w:r>
    </w:p>
    <w:p>
      <w:pPr>
        <w:spacing w:after="0" w:line="9"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10(o) to Form 10-K for the year ended September 30, 2008.</w:t>
      </w:r>
    </w:p>
    <w:p>
      <w:pPr>
        <w:spacing w:after="0" w:line="9"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10(e)(ii) to Form 10-K for the year ended September 30, 2011.</w:t>
      </w:r>
    </w:p>
    <w:p>
      <w:pPr>
        <w:spacing w:after="0" w:line="9"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99 to Registration Statement on Form S-8 filed on April 16, 2013.</w:t>
      </w:r>
    </w:p>
    <w:p>
      <w:pPr>
        <w:spacing w:after="0" w:line="9" w:lineRule="exact"/>
        <w:rPr>
          <w:sz w:val="20"/>
          <w:szCs w:val="20"/>
          <w:color w:val="auto"/>
        </w:rPr>
      </w:pPr>
    </w:p>
    <w:p>
      <w:pPr>
        <w:ind w:left="400" w:hanging="392"/>
        <w:spacing w:after="0"/>
        <w:tabs>
          <w:tab w:leader="none" w:pos="4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 to Form 10-Q for the quarter ended March 31, 2013.</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99 to Registration Statement on Form S-8 filed on March 12, 2014.</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 to Form 10-Q for the quarter ended March 31, 2014.</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 to Form 10-Q for the quarter ended June 30, 2014.</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definitive proxy statement on Schedule 14A filed December 11, 2015.</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10(a)(ii) to Form 10-Q for the quarter ended March 31, 2016.</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10(a)(iii) to Form 10-Q for the quarter ended March 31, 2016.</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10(a)(iv) to Form 10-Q for the quarter ended March 31, 2016.</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definitive proxy statement on Schedule 14A filed December 16, 2016.</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10(b)(ii) to Form 10-Q for the quarter ended March 31, 2017.</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10(b)(iii) to Form 10-Q for the quarter ended March 31, 2017.</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10(b)(iv) to Form 10-Q for the quarter ended March 31, 2017.</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definitive proxy statement on Schedule 14A filed December 8, 2017.</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 to Form 10-Q for the quarter ended March 31, 2018.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10(a)(ii) to Form 10-Q for the quarter ended March 31, 2018.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10(a)(iii) to Form 10-Q for the quarter ended March 31, 2018.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10(a)(iv) to Form 10-Q for the quarter ended March 31, 2018.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definitive proxy statement on Schedule 14A filed December 14, 2018.</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 to Form 10-Q for the quarter ended March 31, 2019.</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10(a)(ii) to Form 10-Q for the quarter ended March 31, 2019.</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10(a)(iii) to Form 10-Q for the quarter ended March 31, 2019.</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10(a)(iv) to Form 10-Q for the quarter ended March 31, 2019.</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 to Form 10-Q for the quarter ended March 31,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 to Form 10-Q for the quarter ended March 31,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10(b)(ii) to Form 10-Q for the quarter ended March 31,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10(b)(iii) to Form 10-Q for the quarter ended March 31,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10(b)(iv) to Form 10-Q for the quarter ended March 31, 2020.</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10(b)(v) to Form 10-Q for the quarter ended March 31, 2020.</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Form 8-K filed February 4,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10(b)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10(c)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10(d)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10(e)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10(f)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10(g) to Form 10-Q for the quarter ended March 31, 2021.</w:t>
      </w:r>
    </w:p>
    <w:p>
      <w:pPr>
        <w:spacing w:after="0" w:line="9" w:lineRule="exact"/>
        <w:rPr>
          <w:rFonts w:ascii="Times New Roman" w:cs="Times New Roman" w:eastAsia="Times New Roman" w:hAnsi="Times New Roman"/>
          <w:sz w:val="18"/>
          <w:szCs w:val="18"/>
          <w:color w:val="auto"/>
        </w:rPr>
      </w:pPr>
    </w:p>
    <w:p>
      <w:pPr>
        <w:ind w:left="360" w:hanging="352"/>
        <w:spacing w:after="0" w:line="207" w:lineRule="exact"/>
        <w:tabs>
          <w:tab w:leader="none" w:pos="3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quarter ended June 30, 2010.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Form 8-K filed December 5, 2014.</w:t>
      </w:r>
    </w:p>
    <w:p>
      <w:pPr>
        <w:spacing w:after="0" w:line="27"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10(m) to Form 10-K for the year ended September 30, 2013.</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10(a) to Form 10-Q for the quarter ended March 31, 2017.</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10(o) to Form 10-K for the year ended September 30, 2019.</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10.O to Form 10-K for the year ended September 30, 2018.</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Form 8-K filed May 10, 2019.</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Incorporated by reference to Exhibit 10.1 to the Company's Current Report on Form 8-K filed on December 23, 2021.</w:t>
      </w:r>
    </w:p>
    <w:p>
      <w:pPr>
        <w:spacing w:after="0" w:line="20" w:lineRule="exact"/>
        <w:rPr>
          <w:rFonts w:ascii="Times New Roman" w:cs="Times New Roman" w:eastAsia="Times New Roman" w:hAnsi="Times New Roman"/>
          <w:sz w:val="17"/>
          <w:szCs w:val="17"/>
          <w:color w:val="auto"/>
        </w:rPr>
      </w:pPr>
    </w:p>
    <w:p>
      <w:pPr>
        <w:ind w:left="360" w:hanging="352"/>
        <w:spacing w:after="0"/>
        <w:tabs>
          <w:tab w:leader="none" w:pos="3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 10.1 to the Company's Current Report on Form 8-K filed on February 2,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November 23, 2022.</w:t>
      </w:r>
    </w:p>
    <w:p>
      <w:pPr>
        <w:spacing w:after="0" w:line="6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DIGI INTERNATIONAL INC.</w:t>
      </w:r>
    </w:p>
    <w:p>
      <w:pPr>
        <w:spacing w:after="0" w:line="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-8890</wp:posOffset>
            </wp:positionV>
            <wp:extent cx="10629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5220"/>
        <w:spacing w:after="0" w:line="203" w:lineRule="auto"/>
        <w:rPr>
          <w:sz w:val="20"/>
          <w:szCs w:val="20"/>
          <w:color w:val="auto"/>
        </w:rPr>
      </w:pPr>
      <w:r>
        <w:rPr>
          <w:rFonts w:ascii="Times New Roman" w:cs="Times New Roman" w:eastAsia="Times New Roman" w:hAnsi="Times New Roman"/>
          <w:sz w:val="18"/>
          <w:szCs w:val="18"/>
          <w:color w:val="auto"/>
        </w:rPr>
        <w:t>Ronald E. Konezny</w:t>
      </w:r>
    </w:p>
    <w:p>
      <w:pPr>
        <w:ind w:left="52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17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November 23, 2022.</w:t>
      </w:r>
    </w:p>
    <w:p>
      <w:pPr>
        <w:spacing w:after="0" w:line="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-7620</wp:posOffset>
            </wp:positionV>
            <wp:extent cx="10629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5220"/>
        <w:spacing w:after="0" w:line="205" w:lineRule="auto"/>
        <w:rPr>
          <w:sz w:val="20"/>
          <w:szCs w:val="20"/>
          <w:color w:val="auto"/>
        </w:rPr>
      </w:pPr>
      <w:r>
        <w:rPr>
          <w:rFonts w:ascii="Times New Roman" w:cs="Times New Roman" w:eastAsia="Times New Roman" w:hAnsi="Times New Roman"/>
          <w:sz w:val="18"/>
          <w:szCs w:val="18"/>
          <w:color w:val="auto"/>
        </w:rPr>
        <w:t>Ronald E. Konezny</w:t>
      </w:r>
    </w:p>
    <w:p>
      <w:pPr>
        <w:ind w:left="5220"/>
        <w:spacing w:after="0" w:line="204" w:lineRule="auto"/>
        <w:rPr>
          <w:sz w:val="20"/>
          <w:szCs w:val="20"/>
          <w:color w:val="auto"/>
        </w:rPr>
      </w:pPr>
      <w:r>
        <w:rPr>
          <w:rFonts w:ascii="Times New Roman" w:cs="Times New Roman" w:eastAsia="Times New Roman" w:hAnsi="Times New Roman"/>
          <w:sz w:val="18"/>
          <w:szCs w:val="18"/>
          <w:color w:val="auto"/>
        </w:rPr>
        <w:t>President, Chief Executive Officer and Director</w:t>
      </w:r>
    </w:p>
    <w:p>
      <w:pPr>
        <w:ind w:left="52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1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3481705</wp:posOffset>
            </wp:positionH>
            <wp:positionV relativeFrom="paragraph">
              <wp:posOffset>-635</wp:posOffset>
            </wp:positionV>
            <wp:extent cx="8089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4">
                      <a:extLst>
                        <a:ext uri="{28A0092B-C50C-407E-A947-70E740481C1C}"/>
                      </a:extLst>
                    </a:blip>
                    <a:srcRect/>
                    <a:stretch>
                      <a:fillRect/>
                    </a:stretch>
                  </pic:blipFill>
                  <pic:spPr bwMode="auto">
                    <a:xfrm>
                      <a:off x="0" y="0"/>
                      <a:ext cx="808990" cy="8255"/>
                    </a:xfrm>
                    <a:prstGeom prst="rect">
                      <a:avLst/>
                    </a:prstGeom>
                    <a:noFill/>
                  </pic:spPr>
                </pic:pic>
              </a:graphicData>
            </a:graphic>
          </wp:anchor>
        </w:drawing>
      </w:r>
    </w:p>
    <w:p>
      <w:pPr>
        <w:ind w:left="5220"/>
        <w:spacing w:after="0" w:line="219" w:lineRule="auto"/>
        <w:rPr>
          <w:sz w:val="20"/>
          <w:szCs w:val="20"/>
          <w:color w:val="auto"/>
        </w:rPr>
      </w:pPr>
      <w:r>
        <w:rPr>
          <w:rFonts w:ascii="Times New Roman" w:cs="Times New Roman" w:eastAsia="Times New Roman" w:hAnsi="Times New Roman"/>
          <w:sz w:val="18"/>
          <w:szCs w:val="18"/>
          <w:color w:val="auto"/>
        </w:rPr>
        <w:t>James J. Loch</w:t>
      </w:r>
    </w:p>
    <w:p>
      <w:pPr>
        <w:ind w:left="5220"/>
        <w:spacing w:after="0" w:line="203" w:lineRule="auto"/>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1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w:t>
      </w:r>
    </w:p>
    <w:p>
      <w:pPr>
        <w:ind w:left="5220"/>
        <w:spacing w:after="0" w:line="203" w:lineRule="auto"/>
        <w:rPr>
          <w:sz w:val="20"/>
          <w:szCs w:val="20"/>
          <w:color w:val="auto"/>
        </w:rPr>
      </w:pPr>
      <w:r>
        <w:rPr>
          <w:rFonts w:ascii="Times New Roman" w:cs="Times New Roman" w:eastAsia="Times New Roman" w:hAnsi="Times New Roman"/>
          <w:sz w:val="18"/>
          <w:szCs w:val="18"/>
          <w:color w:val="auto"/>
        </w:rPr>
        <w:t>Satbir Khanuja</w:t>
      </w:r>
    </w:p>
    <w:p>
      <w:pPr>
        <w:ind w:left="5220"/>
        <w:spacing w:after="0"/>
        <w:rPr>
          <w:sz w:val="20"/>
          <w:szCs w:val="20"/>
          <w:color w:val="auto"/>
        </w:rPr>
      </w:pPr>
      <w:r>
        <w:rPr>
          <w:rFonts w:ascii="Times New Roman" w:cs="Times New Roman" w:eastAsia="Times New Roman" w:hAnsi="Times New Roman"/>
          <w:sz w:val="18"/>
          <w:szCs w:val="18"/>
          <w:color w:val="auto"/>
        </w:rPr>
        <w:t>Director</w:t>
      </w:r>
    </w:p>
    <w:p>
      <w:pPr>
        <w:spacing w:after="0" w:line="1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w:t>
      </w:r>
    </w:p>
    <w:p>
      <w:pPr>
        <w:ind w:left="5220"/>
        <w:spacing w:after="0" w:line="205" w:lineRule="auto"/>
        <w:rPr>
          <w:sz w:val="20"/>
          <w:szCs w:val="20"/>
          <w:color w:val="auto"/>
        </w:rPr>
      </w:pPr>
      <w:r>
        <w:rPr>
          <w:rFonts w:ascii="Times New Roman" w:cs="Times New Roman" w:eastAsia="Times New Roman" w:hAnsi="Times New Roman"/>
          <w:sz w:val="18"/>
          <w:szCs w:val="18"/>
          <w:color w:val="auto"/>
        </w:rPr>
        <w:t>Christopher D. Heim</w:t>
      </w:r>
    </w:p>
    <w:p>
      <w:pPr>
        <w:spacing w:after="0" w:line="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Director</w:t>
      </w:r>
    </w:p>
    <w:p>
      <w:pPr>
        <w:spacing w:after="0" w:line="1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w:t>
      </w:r>
    </w:p>
    <w:p>
      <w:pPr>
        <w:ind w:left="5220"/>
        <w:spacing w:after="0" w:line="219" w:lineRule="auto"/>
        <w:rPr>
          <w:sz w:val="20"/>
          <w:szCs w:val="20"/>
          <w:color w:val="auto"/>
        </w:rPr>
      </w:pPr>
      <w:r>
        <w:rPr>
          <w:rFonts w:ascii="Times New Roman" w:cs="Times New Roman" w:eastAsia="Times New Roman" w:hAnsi="Times New Roman"/>
          <w:sz w:val="18"/>
          <w:szCs w:val="18"/>
          <w:color w:val="auto"/>
        </w:rPr>
        <w:t>Hatem H. Naguib</w:t>
      </w:r>
    </w:p>
    <w:p>
      <w:pPr>
        <w:ind w:left="5220"/>
        <w:spacing w:after="0"/>
        <w:rPr>
          <w:sz w:val="20"/>
          <w:szCs w:val="20"/>
          <w:color w:val="auto"/>
        </w:rPr>
      </w:pPr>
      <w:r>
        <w:rPr>
          <w:rFonts w:ascii="Times New Roman" w:cs="Times New Roman" w:eastAsia="Times New Roman" w:hAnsi="Times New Roman"/>
          <w:sz w:val="18"/>
          <w:szCs w:val="18"/>
          <w:color w:val="auto"/>
        </w:rPr>
        <w:t>Director</w:t>
      </w:r>
    </w:p>
    <w:p>
      <w:pPr>
        <w:spacing w:after="0" w:line="11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w:t>
      </w:r>
    </w:p>
    <w:p>
      <w:pPr>
        <w:ind w:left="5220"/>
        <w:spacing w:after="0" w:line="203" w:lineRule="auto"/>
        <w:rPr>
          <w:sz w:val="20"/>
          <w:szCs w:val="20"/>
          <w:color w:val="auto"/>
        </w:rPr>
      </w:pPr>
      <w:r>
        <w:rPr>
          <w:rFonts w:ascii="Times New Roman" w:cs="Times New Roman" w:eastAsia="Times New Roman" w:hAnsi="Times New Roman"/>
          <w:sz w:val="18"/>
          <w:szCs w:val="18"/>
          <w:color w:val="auto"/>
        </w:rPr>
        <w:t>Sally J. Smith</w:t>
      </w:r>
    </w:p>
    <w:p>
      <w:pPr>
        <w:ind w:left="5220"/>
        <w:spacing w:after="0"/>
        <w:rPr>
          <w:sz w:val="20"/>
          <w:szCs w:val="20"/>
          <w:color w:val="auto"/>
        </w:rPr>
      </w:pPr>
      <w:r>
        <w:rPr>
          <w:rFonts w:ascii="Times New Roman" w:cs="Times New Roman" w:eastAsia="Times New Roman" w:hAnsi="Times New Roman"/>
          <w:sz w:val="18"/>
          <w:szCs w:val="18"/>
          <w:color w:val="auto"/>
        </w:rPr>
        <w:t>Director</w:t>
      </w:r>
    </w:p>
    <w:p>
      <w:pPr>
        <w:spacing w:after="0" w:line="1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u w:val="single" w:color="auto"/>
          <w:color w:val="auto"/>
        </w:rPr>
        <w:t>*</w:t>
      </w:r>
    </w:p>
    <w:p>
      <w:pPr>
        <w:ind w:left="5240"/>
        <w:spacing w:after="0" w:line="205" w:lineRule="auto"/>
        <w:rPr>
          <w:sz w:val="20"/>
          <w:szCs w:val="20"/>
          <w:color w:val="auto"/>
        </w:rPr>
      </w:pPr>
      <w:r>
        <w:rPr>
          <w:rFonts w:ascii="Times New Roman" w:cs="Times New Roman" w:eastAsia="Times New Roman" w:hAnsi="Times New Roman"/>
          <w:sz w:val="18"/>
          <w:szCs w:val="18"/>
          <w:color w:val="auto"/>
        </w:rPr>
        <w:t>Spiro C. Lazarakis</w:t>
      </w:r>
    </w:p>
    <w:p>
      <w:pPr>
        <w:spacing w:after="0" w:line="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Director</w:t>
      </w:r>
    </w:p>
    <w:p>
      <w:pPr>
        <w:spacing w:after="0" w:line="327" w:lineRule="exact"/>
        <w:rPr>
          <w:sz w:val="20"/>
          <w:szCs w:val="20"/>
          <w:color w:val="auto"/>
        </w:rPr>
      </w:pPr>
    </w:p>
    <w:p>
      <w:pPr>
        <w:ind w:left="180" w:right="500" w:hanging="172"/>
        <w:spacing w:after="0" w:line="282" w:lineRule="auto"/>
        <w:tabs>
          <w:tab w:leader="none" w:pos="28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Ronald E. Konezny, by signing his name hereto, does hereby sign this document on behalf of each of the above named directors of the Registrant pursuant to Powers of Attorney duly executed by such persons.</w:t>
      </w:r>
    </w:p>
    <w:p>
      <w:pPr>
        <w:spacing w:after="0" w:line="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By: /s/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-635</wp:posOffset>
            </wp:positionV>
            <wp:extent cx="10629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6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5240"/>
        <w:spacing w:after="0" w:line="203" w:lineRule="auto"/>
        <w:rPr>
          <w:sz w:val="20"/>
          <w:szCs w:val="20"/>
          <w:color w:val="auto"/>
        </w:rPr>
      </w:pPr>
      <w:r>
        <w:rPr>
          <w:rFonts w:ascii="Times New Roman" w:cs="Times New Roman" w:eastAsia="Times New Roman" w:hAnsi="Times New Roman"/>
          <w:sz w:val="18"/>
          <w:szCs w:val="18"/>
          <w:color w:val="auto"/>
        </w:rPr>
        <w:t>Ronald E. Konezny</w:t>
      </w:r>
    </w:p>
    <w:p>
      <w:pPr>
        <w:ind w:left="524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60" w:type="dxa"/>
            <w:vAlign w:val="bottom"/>
            <w:gridSpan w:val="12"/>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SCHEDULE II - VALUATION AND QUALIFYING ACCOUNTS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340" w:type="dxa"/>
            <w:vAlign w:val="bottom"/>
            <w:gridSpan w:val="9"/>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DIGI INTERNATIONAL INC.</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color w:val="auto"/>
              </w:rPr>
              <w:t>Additions</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w w:val="97"/>
              </w:rPr>
              <w:t>Balance at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rPr>
              <w:t>Charged to</w:t>
            </w:r>
          </w:p>
        </w:tc>
        <w:tc>
          <w:tcPr>
            <w:tcW w:w="100" w:type="dxa"/>
            <w:vAlign w:val="bottom"/>
          </w:tcPr>
          <w:p>
            <w:pPr>
              <w:spacing w:after="0"/>
              <w:rPr>
                <w:sz w:val="14"/>
                <w:szCs w:val="14"/>
                <w:color w:val="auto"/>
              </w:rPr>
            </w:pPr>
          </w:p>
        </w:tc>
        <w:tc>
          <w:tcPr>
            <w:tcW w:w="9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color w:val="auto"/>
              </w:rPr>
              <w:t>Charged to</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Balance at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8"/>
              </w:rPr>
              <w:t>beginning of</w:t>
            </w:r>
          </w:p>
        </w:tc>
        <w:tc>
          <w:tcPr>
            <w:tcW w:w="14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9"/>
              </w:rPr>
              <w:t>costs and</w:t>
            </w:r>
          </w:p>
        </w:tc>
        <w:tc>
          <w:tcPr>
            <w:tcW w:w="100" w:type="dxa"/>
            <w:vAlign w:val="bottom"/>
          </w:tcPr>
          <w:p>
            <w:pPr>
              <w:spacing w:after="0"/>
              <w:rPr>
                <w:sz w:val="15"/>
                <w:szCs w:val="15"/>
                <w:color w:val="auto"/>
              </w:rPr>
            </w:pPr>
          </w:p>
        </w:tc>
        <w:tc>
          <w:tcPr>
            <w:tcW w:w="9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period</w:t>
            </w:r>
          </w:p>
        </w:tc>
        <w:tc>
          <w:tcPr>
            <w:tcW w:w="14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expenses</w:t>
            </w:r>
          </w:p>
        </w:tc>
        <w:tc>
          <w:tcPr>
            <w:tcW w:w="100" w:type="dxa"/>
            <w:vAlign w:val="bottom"/>
          </w:tcPr>
          <w:p>
            <w:pPr>
              <w:spacing w:after="0"/>
              <w:rPr>
                <w:sz w:val="21"/>
                <w:szCs w:val="21"/>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Accounts</w:t>
            </w:r>
          </w:p>
        </w:tc>
        <w:tc>
          <w:tcPr>
            <w:tcW w:w="200" w:type="dxa"/>
            <w:vAlign w:val="bottom"/>
          </w:tcPr>
          <w:p>
            <w:pPr>
              <w:spacing w:after="0"/>
              <w:rPr>
                <w:sz w:val="21"/>
                <w:szCs w:val="21"/>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Deductions</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end of period</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30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auto"/>
              </w:rPr>
              <w:t>Valuation allowance - deferred tax assets</w:t>
            </w:r>
          </w:p>
        </w:tc>
        <w:tc>
          <w:tcPr>
            <w:tcW w:w="10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9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2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2021</w:t>
            </w:r>
          </w:p>
        </w:tc>
        <w:tc>
          <w:tcPr>
            <w:tcW w:w="2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2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140" w:type="dxa"/>
            <w:vAlign w:val="bottom"/>
            <w:gridSpan w:val="2"/>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080" w:type="dxa"/>
            <w:vAlign w:val="bottom"/>
            <w:tcBorders>
              <w:bottom w:val="single" w:sz="8" w:color="auto"/>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9"/>
              </w:rPr>
              <w:t>Reserve for future credit returns and pricing adjustments</w:t>
            </w:r>
          </w:p>
        </w:tc>
        <w:tc>
          <w:tcPr>
            <w:tcW w:w="1040" w:type="dxa"/>
            <w:vAlign w:val="bottom"/>
            <w:tcBorders>
              <w:bottom w:val="single" w:sz="8" w:color="CCEEFF"/>
            </w:tcBorders>
            <w:gridSpan w:val="3"/>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2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17,087</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w:t>
            </w:r>
          </w:p>
        </w:tc>
        <w:tc>
          <w:tcPr>
            <w:tcW w:w="5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2021</w:t>
            </w:r>
          </w:p>
        </w:tc>
        <w:tc>
          <w:tcPr>
            <w:tcW w:w="2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16,023</w:t>
            </w: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2020</w:t>
            </w:r>
          </w:p>
        </w:tc>
        <w:tc>
          <w:tcPr>
            <w:tcW w:w="2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19,017</w:t>
            </w:r>
          </w:p>
        </w:tc>
        <w:tc>
          <w:tcPr>
            <w:tcW w:w="5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b w:val="1"/>
          <w:bCs w:val="1"/>
          <w:color w:val="auto"/>
        </w:rPr>
        <w:t>Exhibit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89" w:lineRule="exact"/>
        <w:rPr>
          <w:sz w:val="20"/>
          <w:szCs w:val="20"/>
          <w:color w:val="auto"/>
        </w:rPr>
      </w:pPr>
    </w:p>
    <w:p>
      <w:pPr>
        <w:ind w:right="340"/>
        <w:spacing w:after="0" w:line="219" w:lineRule="exact"/>
        <w:rPr>
          <w:sz w:val="20"/>
          <w:szCs w:val="20"/>
          <w:color w:val="auto"/>
        </w:rPr>
      </w:pPr>
      <w:r>
        <w:rPr>
          <w:rFonts w:ascii="Times New Roman" w:cs="Times New Roman" w:eastAsia="Times New Roman" w:hAnsi="Times New Roman"/>
          <w:sz w:val="18"/>
          <w:szCs w:val="18"/>
          <w:color w:val="auto"/>
        </w:rPr>
        <w:t>The summary of the general terms and provisions of the capital stock of Digi International Inc. (the “Company”) set forth below does not purport to be complete and is subject to and qualified by reference to the Company’s Restated Certificate of Incorporation, as amended (the “Certificate of Incorporation”) and Amended and Restated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of the Company (the “By-laws,” and together with the Certificate of Incorporation, the “Charter Documents”), each of which is incorporated herein by reference and attached as an exhibit to the Company’s most recent Annual Report on Form 10-K filed with the Securities and Exchange Commission. For additional information, please read the Company’s Charter Documents and the applicable provisions of the General Corporation Law of Delaware (the “DGCL”).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up to 60,000,000 shares of common stock, with a par value of $.01 per share, and 2,000,000 shares of preferred stock, with a par value of $.01 (the “Preferred Stock”). The Company’s Board of Directors has the power and authority to fix by resolution any designation, series, voting power, preference, right, qualification, limitation, restriction, dividend, time and price of redemption and conversion right with respect to the Preferred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0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holders of shares of the Company’s common stock are entitled to one vote per share on all matters voted upon by the Company’s stockholders. The Company’s common stock does not have cumulative voting rights, and, accordingly, holders of more than 50% of the outstanding shares of common stock will be able to elect all of the members of the Board of Directors. If the number of candidates exceeds the number of members to be elected to the Board of Directors, they may be elected by plurality vote. The following significant corporate transactions require approval by the affirmative vote of at least 80% of the outstanding shares entitled to vote, voting together as a single class: (i) Business Combinations with Interested Stockholders (as described below), (ii) amendments to Articles Fifth and Sixth of the Certificate of Incorporation and (iii) amendments to By-laws proposed by stockholders. Other matters to be voted upon by the holders of common stock normally require the affirmative vote of a majority of the shares present at the particular stockholders meeting. The holders of the Preferred Stock shall not be entitled to vote nor receive notice of any meeting of stockholders at which they are not entitled to vote unless the Board of Directors so provides.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8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After satisfaction of the dividend rights of holders of Preferred Stock, the holders of shares of the Company’s common stock are entitled to receive dividends, if any, in such amounts as may be declared from time to time by the Company’s Board of Directors in its discretion out of any funds legally available therefor and as permitted by the DGCL.</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the event of the Company’s dissolution, liquidation or winding-up, the holders of shares of common stock are entitled to share ratably in any assets of the Company remaining after payment in full of creditors and preferred stockholders to the extent of any liquidation preferences.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Rights</w:t>
      </w:r>
    </w:p>
    <w:p>
      <w:pPr>
        <w:spacing w:after="0" w:line="20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are no preemptive, subscription, conversion, redemption or sinking fund rights pertaining to the common stock. The absence of preemptive rights could result in a dilution of the interest of investors should additional common stock be issued.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is currently traded on the Nasdaq Stock Market under the symbol “DGII.”</w:t>
      </w:r>
    </w:p>
    <w:p>
      <w:pPr>
        <w:sectPr>
          <w:pgSz w:w="11900" w:h="16838" w:orient="portrait"/>
          <w:cols w:equalWidth="0" w:num="1">
            <w:col w:w="11240"/>
          </w:cols>
          <w:pgMar w:left="320" w:top="36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0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Charter Documents and the DGCL contain certain provisions that may discourage an unsolicited takeover of the Company or make an unsolicited takeover of the Company more difficult. The following are some of the more significant anti-takeover provisions that are applicable to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with Interested Stockholders</w:t>
      </w:r>
    </w:p>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Certificate of Incorporation provides that, in addition to any affirmative vote required by law or by the Charter Documents, (a) any merger or consolidation of the Company or any Subsidiary with (i) any Interested Stockholder (a person who (i) is the beneficial owner of Voting Stock representing twenty percent (20%) or more of the votes entitled to be cast by the holders of all then outstanding shares of Voting Stock; or (ii) is an Affiliate or Associate of the Company and at any time within the two-year period immediately prior to the date in questions was the beneficial owner of Voting Stock representing 20% or more of the votes entitled to be cast by the holders of all then outstanding shares of Voting Stock) or (ii) any other corporation (whether or not itself an Interested Stockholder) which is or after such merger or consolidation would be an affiliate or associate of an Interested Stockholder, (b) any sale, lease, exchange, mortgage, pledge, transfer or other disposition (in one transaction or a series of transactions) with any Interested Stockholder or any affiliate or associate of any Interested Stockholder involving any assets or securities of the Company, any subsidiary or any Interested Stockholder or any affiliate or associate of any Interested Stockholder having an aggregate fair market value equal to or greater than 10% of the book value of the consolidated assets of the Company, (c) the adoption of any plan or proposal for the liquidation or dissolution of the Company proposed by or on behalf of an Interested Stockholder or any affiliate or associate of any Interested Stockholder, (d) any reclassification of securities (including any reverse stock split), or recapitalization of the Company, or any merger or consolidation of the Company with any of its subsidiaries or any other transaction (whether or not with or otherwise involving an Interested Stockholder) that has the effect, directly or indirectly, of increasing the proportionate share of any class or series of Capital Stock, or any securities convertible into Capital Stock or into equity securities of any subsidiary, that is beneficially owned by any Interested Stockholder or any affiliate or associate of any Interested Stockholder, or (e) any agreement, contract or other arrangement providing for any one or more of the actions specified in the foregoing clauses (a) - (d), shall require the affirmative vote of not less than 80% of the votes entitled to be cast by the holders of all then outstanding shares of Voting Stock, voting together as a single class. The foregoing restriction does not apply to (i) transactions approved by a majority (whether such approval is made prior to or subsequent to the acquisition of beneficial ownership of the Voting Stock that caused the Interested Stockholder to become an Interested Stockholder) of the Continuing Directors (any member of the Board of Directors of the Company, while such person is a member of the Board of Directors, who was a member of the Board prior to the time that the Interested Stockholder involved in the Business Combination in questions became an Interested Stockholder, and any member of the Board of Directors, whose election, or nomination for election by the Company’s Stockholders, was approved by vote of a majority of the Continuing Directors; provided, however, that in no event shall an Interested Stockholder involved in the Business Combination in question or any Affiliate, Associate or representative of such Interested Stockholder be deemed to be a Continuing Director); or (ii) transactions in which all stockholders receive a specified consideration per share and such transaction meets the additional conditions set forth in Article Sixth of the Certificate of Incorporation. The affirmative vote of the holders of at least 80% percent or more of the Voting Stock of the Company, voting together as a single class, is required to amend or repeal this provision of the Certificate.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general, Section 203 of the DGCL prohibits a Delaware corporation with a class of voting stock listed on a national securities exchange or held of record by 2,000 or more stockholders from engaging in a “Business Combination” (as defined below) with an “Interested Stockholder” (as defined below)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for seven years unless it satisfies one of the following conditions:</w:t>
      </w:r>
    </w:p>
    <w:p>
      <w:pPr>
        <w:spacing w:after="0" w:line="148" w:lineRule="exact"/>
        <w:rPr>
          <w:sz w:val="20"/>
          <w:szCs w:val="20"/>
          <w:color w:val="auto"/>
        </w:rPr>
      </w:pPr>
    </w:p>
    <w:p>
      <w:pPr>
        <w:ind w:left="660" w:right="38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an Interested Stockholder, the Board of Directors approved either the Business Combination or the transaction which resulted in the stockholder becoming an Interested Stockholder;</w:t>
      </w:r>
    </w:p>
    <w:p>
      <w:pPr>
        <w:spacing w:after="0" w:line="13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w:t>
      </w:r>
    </w:p>
    <w:p>
      <w:pPr>
        <w:sectPr>
          <w:pgSz w:w="11900" w:h="16838" w:orient="portrait"/>
          <w:cols w:equalWidth="0" w:num="1">
            <w:col w:w="11240"/>
          </w:cols>
          <w:pgMar w:left="320" w:top="1103" w:right="339" w:bottom="1440" w:gutter="0" w:footer="0" w:header="0"/>
        </w:sectPr>
      </w:pPr>
    </w:p>
    <w:bookmarkStart w:id="86" w:name="page87"/>
    <w:bookmarkEnd w:id="86"/>
    <w:p>
      <w:pPr>
        <w:ind w:left="660"/>
        <w:spacing w:after="0" w:line="282" w:lineRule="auto"/>
        <w:rPr>
          <w:sz w:val="20"/>
          <w:szCs w:val="20"/>
          <w:color w:val="auto"/>
        </w:rPr>
      </w:pPr>
      <w:r>
        <w:rPr>
          <w:rFonts w:ascii="Times New Roman" w:cs="Times New Roman" w:eastAsia="Times New Roman" w:hAnsi="Times New Roman"/>
          <w:sz w:val="18"/>
          <w:szCs w:val="18"/>
          <w:color w:val="auto"/>
        </w:rPr>
        <w:t>commenced, excluding for purposes of determining the voting stock outstanding, shares owned by persons who are directors and also officers, and employee stock plans, in some instances; or</w:t>
      </w:r>
    </w:p>
    <w:p>
      <w:pPr>
        <w:spacing w:after="0" w:line="135" w:lineRule="exact"/>
        <w:rPr>
          <w:sz w:val="20"/>
          <w:szCs w:val="20"/>
          <w:color w:val="auto"/>
        </w:rPr>
      </w:pPr>
    </w:p>
    <w:p>
      <w:pPr>
        <w:ind w:left="660" w:right="20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an Interested Stockholder,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3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The DGCL permits a corporation to opt out of, or choose not to be governed by, its anti-takeover statute by expressly stating so in its original certificate of incorporation (or subsequent amendment to its certificate of incorporation or bylaws approved by its stockholders). The Certificate of Incorporation does not contain a provision expressly opting out of the application of Section 203 of the DGCL; therefore, the Company is subject to the anti-takeover statute.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202"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Company’s By-laws provide that a special meeting of stockholders may be called only by the Chairman or the Chief Executive Officer and shall be called by either such officer upon the written request of a majority of the Board of Directors or by a committee of the Board of Directors which has been duly designated by the Board of Directors, and whose powers and authority, as expressly provided in a resolution of the Board of Directors, include the power to call such meetings.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Unanimous Written Consent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Certificate of Incorporation provides that all stockholder action by written consent must be unanimous.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Notice of Stockholder Business Proposals and Nominations</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Company’s By-laws include an advance notice procedure for stockholder proposals to be brought before an annual meeting of stockholders, including proposed nominations of candidates for election to the Board of Directors. Stockholders at an annual meeting will only be able to consider proposals or nominations specified in the notice of meeting or brought before the meeting by or at the direction of the Board of Directors, or by a stockholder that has delivered timely written notice in proper form to the Company’s secretary of the business or mailed to and received at the principal executive office of the Company to be brought before the meeting. These provisions could have the effect of delaying stockholder actions that may be favored by the holders of a majority of the Company’s outstanding voting securities until the next stockholder meeting, or may discourage or deter a potential acquirer from conducting a solicitation of proxies to elect its own slate of directors or otherwise attempt to obtain control of the Company.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provides that directors will be divided into three classes and elected for staggered terms. At each annual meeting, approximately one third of the directors will be elected to serve a three-year term. Directors serving staggered terms can be removed from office only for cause.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Authority of the Board of Directors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Board of Directors has the power to issue any or all of the shares of the Company’s capital stock, including the authority to establish one or more series of Preferred Stock and to fix the powers, preferences, rights and limitations of such class or series, without seeking stockholder approval, and the right to fill vacancies of the Board of Directors (including a vacancy created by an increase in the size of the Board of Directors). Under the Certificate of Incorporation, the Company’s Board of Directors has the authority to adopt and change the By-laws upon the affirmative vote of the number of directors which shall constitute, under the provisions of the Company’s By-laws, the action of the Board of Directors.</w:t>
      </w:r>
    </w:p>
    <w:p>
      <w:pPr>
        <w:sectPr>
          <w:pgSz w:w="11900" w:h="16838" w:orient="portrait"/>
          <w:cols w:equalWidth="0" w:num="1">
            <w:col w:w="11220"/>
          </w:cols>
          <w:pgMar w:left="320" w:top="1107" w:right="35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400" w:type="dxa"/>
            <w:vAlign w:val="bottom"/>
          </w:tcPr>
          <w:p>
            <w:pPr>
              <w:spacing w:after="0"/>
              <w:rPr>
                <w:sz w:val="24"/>
                <w:szCs w:val="24"/>
                <w:color w:val="auto"/>
              </w:rPr>
            </w:pPr>
          </w:p>
        </w:tc>
        <w:tc>
          <w:tcPr>
            <w:tcW w:w="7780" w:type="dxa"/>
            <w:vAlign w:val="bottom"/>
            <w:gridSpan w:val="3"/>
          </w:tcPr>
          <w:p>
            <w:pPr>
              <w:ind w:left="860"/>
              <w:spacing w:after="0"/>
              <w:rPr>
                <w:sz w:val="20"/>
                <w:szCs w:val="20"/>
                <w:color w:val="auto"/>
              </w:rPr>
            </w:pPr>
            <w:r>
              <w:rPr>
                <w:rFonts w:ascii="Times New Roman" w:cs="Times New Roman" w:eastAsia="Times New Roman" w:hAnsi="Times New Roman"/>
                <w:sz w:val="22"/>
                <w:szCs w:val="22"/>
                <w:b w:val="1"/>
                <w:bCs w:val="1"/>
                <w:color w:val="auto"/>
              </w:rPr>
              <w:t>Subsidiaries of the Company</w:t>
            </w:r>
          </w:p>
        </w:tc>
      </w:tr>
      <w:tr>
        <w:trPr>
          <w:trHeight w:val="582"/>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6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21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Accelerated Concepts, Inc.</w:t>
            </w:r>
          </w:p>
        </w:tc>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Florida, United States</w:t>
            </w: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Accelerated Concepts Pty Ltd.</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Canada Inc.</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GmbH</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(HK) Ltd.</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K.K.</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Ltd</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Digi International Spain S.A.</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Digi m2m Solutions India Pvt. Ltd.</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Digi Wireless Singapore Pte. Ltd.</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Digi SmartSense, LLC</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Opengear, Inc.</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Utah, United States</w:t>
            </w: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Opengear Limited</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England/Wales</w:t>
            </w:r>
          </w:p>
        </w:tc>
      </w:tr>
      <w:tr>
        <w:trPr>
          <w:trHeight w:val="23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Opengear Pty Ltd.</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Ventus Technologies, LLC</w:t>
            </w:r>
          </w:p>
        </w:tc>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Ventus Wireless, LLC</w:t>
            </w:r>
          </w:p>
        </w:tc>
        <w:tc>
          <w:tcPr>
            <w:tcW w:w="3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Delaware, United States</w:t>
            </w:r>
          </w:p>
        </w:tc>
      </w:tr>
    </w:tbl>
    <w:p>
      <w:pPr>
        <w:sectPr>
          <w:pgSz w:w="11900" w:h="16838" w:orient="portrait"/>
          <w:cols w:equalWidth="0" w:num="1">
            <w:col w:w="11200"/>
          </w:cols>
          <w:pgMar w:left="360" w:top="11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b w:val="1"/>
          <w:bCs w:val="1"/>
          <w:color w:val="auto"/>
        </w:rPr>
        <w:t>Exhibit 23</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30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have issued our reports dated November 23, 2022, with respect to the consolidated financial statements and internal control over financial reporting included in the Annual Report of Digi International Inc. on Form 10-K for the year ended September 30, 2022. We consent to the incorporation by reference of said reports in this Registration Statements of Digi International Inc. on Form S-3 (File No. 333-253781) and Forms S-8 (File Nos. 333-187949, 333-144872, 333-169427, 333-169428, 333-194518, 333-194522, 333-209958, 333-218002, 333-225308, 333-231365, 333-256288, 333-238614 and 333-264944).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GRANT THORNTON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Cincinnati, Ohio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23, 2022</w:t>
      </w:r>
    </w:p>
    <w:p>
      <w:pPr>
        <w:sectPr>
          <w:pgSz w:w="11900" w:h="16838" w:orient="portrait"/>
          <w:cols w:equalWidth="0" w:num="1">
            <w:col w:w="11240"/>
          </w:cols>
          <w:pgMar w:left="320" w:top="85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James J. Loch and David H. Sampsell,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2021,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day of November, 2022.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Ronald E. Konezny</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Ronald E. Konezny</w:t>
      </w:r>
    </w:p>
    <w:p>
      <w:pPr>
        <w:sectPr>
          <w:pgSz w:w="11900" w:h="16838" w:orient="portrait"/>
          <w:cols w:equalWidth="0" w:num="1">
            <w:col w:w="11240"/>
          </w:cols>
          <w:pgMar w:left="320" w:top="608"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2021,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day of November, 2022.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Satbir Khanuja</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Satbir Khanuja</w:t>
      </w:r>
    </w:p>
    <w:p>
      <w:pPr>
        <w:sectPr>
          <w:pgSz w:w="11900" w:h="16838" w:orient="portrait"/>
          <w:cols w:equalWidth="0" w:num="1">
            <w:col w:w="11240"/>
          </w:cols>
          <w:pgMar w:left="320" w:top="608"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2021,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day of November, 2022.</w:t>
      </w: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Christopher D. Heim</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Christopher D. Heim</w:t>
      </w:r>
    </w:p>
    <w:p>
      <w:pPr>
        <w:sectPr>
          <w:pgSz w:w="11900" w:h="16838" w:orient="portrait"/>
          <w:cols w:equalWidth="0" w:num="1">
            <w:col w:w="11240"/>
          </w:cols>
          <w:pgMar w:left="320" w:top="608"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2021,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day of November,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Hatem H. Naguib</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Hatem H. Naguib</w:t>
      </w:r>
    </w:p>
    <w:p>
      <w:pPr>
        <w:sectPr>
          <w:pgSz w:w="11900" w:h="16838" w:orient="portrait"/>
          <w:cols w:equalWidth="0" w:num="1">
            <w:col w:w="11240"/>
          </w:cols>
          <w:pgMar w:left="320" w:top="608"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2021,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day of November,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Sally J. Smith</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Sally J. Smith</w:t>
      </w:r>
    </w:p>
    <w:p>
      <w:pPr>
        <w:sectPr>
          <w:pgSz w:w="11900" w:h="16838" w:orient="portrait"/>
          <w:cols w:equalWidth="0" w:num="1">
            <w:col w:w="11240"/>
          </w:cols>
          <w:pgMar w:left="320" w:top="608"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DIGI INTERNATIONAL INC.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4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undersigned director of Digi International Inc., a Delaware corporation, does hereby make, constitute and appoint Ronald E. Konezny and James J. Loch, and either of them, the undersigned’s true and lawful attorney-in-fact and agent, with power of substitution, for the undersigned and in the undersigned’s name, place and stead, to sign and affix the undersigned’s name as such director of said corporation to an Annual Report on Form 10-K or other applicable form for the fiscal year ended September 30, 2021, and all amendments thereto, to be filed by said corporation with the U.S. Securities and Exchange Commission, Washington, D.C. (the “SEC”), and to file the same with all exhibits thereto and other supporting documents in connection therewith with the SEC, granting unto said attorneys-in-fact, and either of them, full power and authority to do and perform any and all acts necessary or incidental to the performance and execution of the powers herein expressly granted.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WITNESS WHEREOF, the undersigned has hereunto set the undersigned’s hand this 23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8"/>
          <w:szCs w:val="18"/>
          <w:color w:val="auto"/>
        </w:rPr>
        <w:t xml:space="preserve"> day of November, 2022.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Spiro C. Lazarakis</w:t>
      </w:r>
    </w:p>
    <w:p>
      <w:pPr>
        <w:spacing w:after="0" w:line="6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Spiro C. Lazarakis</w:t>
      </w:r>
    </w:p>
    <w:p>
      <w:pPr>
        <w:sectPr>
          <w:pgSz w:w="11900" w:h="16838" w:orient="portrait"/>
          <w:cols w:equalWidth="0" w:num="1">
            <w:col w:w="11240"/>
          </w:cols>
          <w:pgMar w:left="320" w:top="608"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No. 31(a)</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Ronald E. Konezny, certify that:</w:t>
      </w:r>
    </w:p>
    <w:p>
      <w:pPr>
        <w:spacing w:after="0" w:line="252" w:lineRule="exact"/>
        <w:rPr>
          <w:sz w:val="20"/>
          <w:szCs w:val="20"/>
          <w:color w:val="auto"/>
        </w:rPr>
      </w:pPr>
    </w:p>
    <w:p>
      <w:pPr>
        <w:ind w:left="180" w:hanging="172"/>
        <w:spacing w:after="0"/>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November 23, 2022</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Ronald E. Konezny</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Ronald E. Konezny</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bl>
    <w:p>
      <w:pPr>
        <w:sectPr>
          <w:pgSz w:w="11900" w:h="16838" w:orient="portrait"/>
          <w:cols w:equalWidth="0" w:num="1">
            <w:col w:w="11240"/>
          </w:cols>
          <w:pgMar w:left="320" w:top="1130"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No. 31(b)</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J. Loch, certify that:</w:t>
      </w:r>
    </w:p>
    <w:p>
      <w:pPr>
        <w:spacing w:after="0" w:line="252" w:lineRule="exact"/>
        <w:rPr>
          <w:sz w:val="20"/>
          <w:szCs w:val="20"/>
          <w:color w:val="auto"/>
        </w:rPr>
      </w:pPr>
    </w:p>
    <w:p>
      <w:pPr>
        <w:ind w:left="180" w:hanging="172"/>
        <w:spacing w:after="0"/>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Digi International Inc.;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right="80" w:firstLine="8"/>
        <w:spacing w:after="0" w:line="266" w:lineRule="auto"/>
        <w:tabs>
          <w:tab w:leader="none" w:pos="2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ind w:right="200" w:firstLine="8"/>
        <w:spacing w:after="0" w:line="266" w:lineRule="auto"/>
        <w:tabs>
          <w:tab w:leader="none" w:pos="2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20" w:firstLine="8"/>
        <w:spacing w:after="0" w:line="282"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60" w:firstLine="8"/>
        <w:spacing w:after="0" w:line="282" w:lineRule="auto"/>
        <w:tabs>
          <w:tab w:leader="none" w:pos="2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220" w:firstLine="8"/>
        <w:spacing w:after="0" w:line="282" w:lineRule="auto"/>
        <w:tabs>
          <w:tab w:leader="none" w:pos="24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November 23, 2022</w:t>
            </w:r>
          </w:p>
        </w:tc>
        <w:tc>
          <w:tcPr>
            <w:tcW w:w="5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James J. Loch</w:t>
            </w:r>
          </w:p>
        </w:tc>
      </w:tr>
      <w:tr>
        <w:trPr>
          <w:trHeight w:val="218"/>
        </w:trPr>
        <w:tc>
          <w:tcPr>
            <w:tcW w:w="5020" w:type="dxa"/>
            <w:vAlign w:val="bottom"/>
          </w:tcPr>
          <w:p>
            <w:pPr>
              <w:spacing w:after="0"/>
              <w:rPr>
                <w:sz w:val="18"/>
                <w:szCs w:val="18"/>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J. Loch</w:t>
            </w:r>
          </w:p>
        </w:tc>
      </w:tr>
      <w:tr>
        <w:trPr>
          <w:trHeight w:val="234"/>
        </w:trPr>
        <w:tc>
          <w:tcPr>
            <w:tcW w:w="5020" w:type="dxa"/>
            <w:vAlign w:val="bottom"/>
          </w:tcPr>
          <w:p>
            <w:pPr>
              <w:spacing w:after="0"/>
              <w:rPr>
                <w:sz w:val="20"/>
                <w:szCs w:val="20"/>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tc>
      </w:tr>
    </w:tbl>
    <w:p>
      <w:pPr>
        <w:sectPr>
          <w:pgSz w:w="11900" w:h="16838" w:orient="portrait"/>
          <w:cols w:equalWidth="0" w:num="1">
            <w:col w:w="11240"/>
          </w:cols>
          <w:pgMar w:left="320" w:top="1130"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No. 32</w:t>
      </w:r>
    </w:p>
    <w:p>
      <w:pPr>
        <w:spacing w:after="0" w:line="2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Section 1350, each of the undersigned certifies that:</w:t>
      </w:r>
    </w:p>
    <w:p>
      <w:pPr>
        <w:spacing w:after="0" w:line="252" w:lineRule="exact"/>
        <w:rPr>
          <w:sz w:val="20"/>
          <w:szCs w:val="20"/>
          <w:color w:val="auto"/>
        </w:rPr>
      </w:pPr>
    </w:p>
    <w:p>
      <w:pPr>
        <w:ind w:right="520" w:firstLine="8"/>
        <w:spacing w:after="0" w:line="282" w:lineRule="auto"/>
        <w:tabs>
          <w:tab w:leader="none" w:pos="2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September 30, 2022 (the "Report") fully complies with the requirements of section 13(a) or 15(d) of the Securities Exchange Act of 1934 (15 U.S.C. 78m or 78o(d)); and</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23, 2022</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Ronald E. Konezny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67">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Ronald E. Konezny</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23, 2022</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 James J. 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65188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8">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1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James J. Loch</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sectPr>
      <w:pgSz w:w="11900" w:h="16838" w:orient="portrait"/>
      <w:cols w:equalWidth="0" w:num="1">
        <w:col w:w="11240"/>
      </w:cols>
      <w:pgMar w:left="320" w:top="11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1."/>
      <w:numFmt w:val="decimal"/>
      <w:start w:val="4"/>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lowerLetter"/>
      <w:start w:val="1"/>
    </w:lvl>
    <w:lvl w:ilvl="1">
      <w:lvlJc w:val="left"/>
      <w:lvlText w:val="%2."/>
      <w:numFmt w:val="decimal"/>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1)"/>
      <w:numFmt w:val="decimal"/>
      <w:start w:val="1"/>
    </w:lvl>
    <w:lvl w:ilvl="1">
      <w:lvlJc w:val="left"/>
      <w:lvlText w:val="(%2)"/>
      <w:numFmt w:val="decimal"/>
      <w:start w:val="2"/>
    </w:lvl>
  </w:abstractNum>
  <w:abstractNum w:abstractNumId="39">
    <w:nsid w:val="542289EC"/>
    <w:multiLevelType w:val="hybridMultilevel"/>
    <w:lvl w:ilvl="0">
      <w:lvlJc w:val="left"/>
      <w:lvlText w:val="(%1)"/>
      <w:numFmt w:val="decimal"/>
      <w:start w:val="9"/>
    </w:lvl>
  </w:abstractNum>
  <w:abstractNum w:abstractNumId="40">
    <w:nsid w:val="6DE91B18"/>
    <w:multiLevelType w:val="hybridMultilevel"/>
    <w:lvl w:ilvl="0">
      <w:lvlJc w:val="left"/>
      <w:lvlText w:val="(%1)"/>
      <w:numFmt w:val="decimal"/>
      <w:start w:val="45"/>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lowerLetter"/>
      <w:start w:val="1"/>
    </w:lvl>
  </w:abstractNum>
  <w:abstractNum w:abstractNumId="46">
    <w:nsid w:val="749ABB43"/>
    <w:multiLevelType w:val="hybridMultilevel"/>
    <w:lvl w:ilvl="0">
      <w:lvlJc w:val="left"/>
      <w:lvlText w:val="%1."/>
      <w:numFmt w:val="decimal"/>
      <w:start w:val="5"/>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decimal"/>
      <w:start w:val="5"/>
    </w:lvl>
  </w:abstractNum>
  <w:abstractNum w:abstractNumId="51">
    <w:nsid w:val="12E685FB"/>
    <w:multiLevelType w:val="hybridMultilevel"/>
    <w:lvl w:ilvl="0">
      <w:lvlJc w:val="left"/>
      <w:lvlText w:val="(%1)"/>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43" Type="http://schemas.openxmlformats.org/officeDocument/2006/relationships/image" Target="media/image98.png"/><Relationship Id="rId158" Type="http://schemas.openxmlformats.org/officeDocument/2006/relationships/image" Target="media/image99.png"/><Relationship Id="rId159" Type="http://schemas.openxmlformats.org/officeDocument/2006/relationships/image" Target="media/image100.png"/><Relationship Id="rId160" Type="http://schemas.openxmlformats.org/officeDocument/2006/relationships/image" Target="media/image101.png"/><Relationship Id="rId161" Type="http://schemas.openxmlformats.org/officeDocument/2006/relationships/image" Target="media/image102.png"/><Relationship Id="rId162" Type="http://schemas.openxmlformats.org/officeDocument/2006/relationships/image" Target="media/image103.png"/><Relationship Id="rId163" Type="http://schemas.openxmlformats.org/officeDocument/2006/relationships/image" Target="media/image104.png"/><Relationship Id="rId164" Type="http://schemas.openxmlformats.org/officeDocument/2006/relationships/image" Target="media/image105.png"/><Relationship Id="rId165" Type="http://schemas.openxmlformats.org/officeDocument/2006/relationships/image" Target="media/image106.png"/><Relationship Id="rId166" Type="http://schemas.openxmlformats.org/officeDocument/2006/relationships/image" Target="media/image107.png"/><Relationship Id="rId167" Type="http://schemas.openxmlformats.org/officeDocument/2006/relationships/image" Target="media/image108.png"/><Relationship Id="rId168" Type="http://schemas.openxmlformats.org/officeDocument/2006/relationships/image" Target="media/image109.png"/><Relationship Id="rId39" Type="http://schemas.openxmlformats.org/officeDocument/2006/relationships/hyperlink" Target="https://www.sec.gov/ix?doc=/Archives/edgar/data/0000854775/000085477520000032/dgii-20200930.htm" TargetMode="External"/><Relationship Id="rId104" Type="http://schemas.openxmlformats.org/officeDocument/2006/relationships/hyperlink" Target="http://www.sec.gov/Archives/edgar/data/0000854775/000110465921132717/tm2131473d1_ex2-1.htm" TargetMode="External"/><Relationship Id="rId105" Type="http://schemas.openxmlformats.org/officeDocument/2006/relationships/hyperlink" Target="http://www.sec.gov/Archives/edgar/data/854775/000110465920054438/tm2018116d1_ex3-1.htm" TargetMode="External"/><Relationship Id="rId106" Type="http://schemas.openxmlformats.org/officeDocument/2006/relationships/hyperlink" Target="http://www.sec.gov/Archives/edgar/data/854775/000085477520000009/dgii-ex10a2020331x10q.htm" TargetMode="External"/><Relationship Id="rId107" Type="http://schemas.openxmlformats.org/officeDocument/2006/relationships/hyperlink" Target="http://www.sec.gov/Archives/edgar/data/854775/000095012310006802/c55918exv10wa.htm" TargetMode="External"/><Relationship Id="rId108" Type="http://schemas.openxmlformats.org/officeDocument/2006/relationships/hyperlink" Target="http://www.sec.gov/Archives/edgar/data/854775/000095013708014268/c47615exv10wxoy.htm" TargetMode="External"/><Relationship Id="rId109" Type="http://schemas.openxmlformats.org/officeDocument/2006/relationships/hyperlink" Target="http://www.sec.gov/Archives/edgar/data/854775/000095012311100985/c25037exv10wxeyxiiy.htm" TargetMode="External"/><Relationship Id="rId110" Type="http://schemas.openxmlformats.org/officeDocument/2006/relationships/hyperlink" Target="http://www.sec.gov/Archives/edgar/data/854775/000119312513157065/d520780dex99.htm" TargetMode="External"/><Relationship Id="rId111" Type="http://schemas.openxmlformats.org/officeDocument/2006/relationships/hyperlink" Target="http://www.sec.gov/Archives/edgar/data/854775/000085477513000008/dgii-ex10ai_2013331x10q.htm" TargetMode="External"/><Relationship Id="rId112" Type="http://schemas.openxmlformats.org/officeDocument/2006/relationships/hyperlink" Target="http://www.sec.gov/Archives/edgar/data/854775/000119312514095850/d691187dex99.htm" TargetMode="External"/><Relationship Id="rId113" Type="http://schemas.openxmlformats.org/officeDocument/2006/relationships/hyperlink" Target="http://www.sec.gov/Archives/edgar/data/854775/000085477514000010/dgii-ex10bi_2014331x10q.htm" TargetMode="External"/><Relationship Id="rId114" Type="http://schemas.openxmlformats.org/officeDocument/2006/relationships/hyperlink" Target="http://www.sec.gov/Archives/edgar/data/854775/000085477514000014/dgii-ex10a_2014630x10q.htm" TargetMode="External"/><Relationship Id="rId117" Type="http://schemas.openxmlformats.org/officeDocument/2006/relationships/hyperlink" Target="http://www.sec.gov/Archives/edgar/data/854775/000119312515401474/d106303ddef14a.htm" TargetMode="External"/><Relationship Id="rId118" Type="http://schemas.openxmlformats.org/officeDocument/2006/relationships/hyperlink" Target="http://www.sec.gov/Archives/edgar/data/854775/000085477516000030/dgii-ex10aii_2016331x10q.htm" TargetMode="External"/><Relationship Id="rId119" Type="http://schemas.openxmlformats.org/officeDocument/2006/relationships/hyperlink" Target="http://www.sec.gov/Archives/edgar/data/854775/000085477516000030/dgii-ex10aiii_2016331x10q.htm" TargetMode="External"/><Relationship Id="rId120" Type="http://schemas.openxmlformats.org/officeDocument/2006/relationships/hyperlink" Target="http://www.sec.gov/Archives/edgar/data/854775/000085477516000030/dgii-ex10aiv_2016331x10q.htm" TargetMode="External"/><Relationship Id="rId121" Type="http://schemas.openxmlformats.org/officeDocument/2006/relationships/hyperlink" Target="http://www.sec.gov/Archives/edgar/data/854775/000085477516000044/a2016proxystatement.htm" TargetMode="External"/><Relationship Id="rId122" Type="http://schemas.openxmlformats.org/officeDocument/2006/relationships/hyperlink" Target="http://www.sec.gov/Archives/edgar/data/854775/000085477517000009/dgii-ex10bii_2017331x10q.htm" TargetMode="External"/><Relationship Id="rId123" Type="http://schemas.openxmlformats.org/officeDocument/2006/relationships/hyperlink" Target="http://www.sec.gov/Archives/edgar/data/854775/000085477517000009/dgii-ex10biii_2017331x10q.htm" TargetMode="External"/><Relationship Id="rId124" Type="http://schemas.openxmlformats.org/officeDocument/2006/relationships/hyperlink" Target="http://www.sec.gov/Archives/edgar/data/854775/000085477517000009/dgii-ex10biv_2017331x10q.htm" TargetMode="External"/><Relationship Id="rId125" Type="http://schemas.openxmlformats.org/officeDocument/2006/relationships/hyperlink" Target="http://www.sec.gov/Archives/edgar/data/854775/000104746917007566/a2234007zdef14a.htm" TargetMode="External"/><Relationship Id="rId126" Type="http://schemas.openxmlformats.org/officeDocument/2006/relationships/hyperlink" Target="http://www.sec.gov/Archives/edgar/data/854775/000085477518000011/dgii-ex10ai_2018331x10xq.htm" TargetMode="External"/><Relationship Id="rId127" Type="http://schemas.openxmlformats.org/officeDocument/2006/relationships/hyperlink" Target="http://www.sec.gov/Archives/edgar/data/854775/000085477518000011/dgii-ex10aii_2018331x10xq.htm" TargetMode="External"/><Relationship Id="rId128" Type="http://schemas.openxmlformats.org/officeDocument/2006/relationships/hyperlink" Target="http://www.sec.gov/Archives/edgar/data/854775/000085477518000011/dgii-ex10aiii_2018331x10xq.htm" TargetMode="External"/><Relationship Id="rId129" Type="http://schemas.openxmlformats.org/officeDocument/2006/relationships/hyperlink" Target="http://www.sec.gov/Archives/edgar/data/854775/000085477518000011/dgii-ex10aiv_2018331x10xq.htm" TargetMode="External"/><Relationship Id="rId130" Type="http://schemas.openxmlformats.org/officeDocument/2006/relationships/hyperlink" Target="http://www.sec.gov/Archives/edgar/data/854775/000104746918007674/a2237351zdef14a.htm" TargetMode="External"/><Relationship Id="rId131" Type="http://schemas.openxmlformats.org/officeDocument/2006/relationships/hyperlink" Target="http://www.sec.gov/Archives/edgar/data/854775/000085477519000010/dgii-ex10ai_2019331x10xq.htm" TargetMode="External"/><Relationship Id="rId132" Type="http://schemas.openxmlformats.org/officeDocument/2006/relationships/hyperlink" Target="http://www.sec.gov/Archives/edgar/data/854775/000085477519000010/dgii-ex10aii_2019331x10xq.htm" TargetMode="External"/><Relationship Id="rId133" Type="http://schemas.openxmlformats.org/officeDocument/2006/relationships/hyperlink" Target="http://www.sec.gov/Archives/edgar/data/854775/000085477519000010/dgii-ex10aiii_2019331x10xq.htm" TargetMode="External"/><Relationship Id="rId134" Type="http://schemas.openxmlformats.org/officeDocument/2006/relationships/hyperlink" Target="http://www.sec.gov/Archives/edgar/data/854775/000085477519000010/dgii-ex10aiv_2019331x10xq.htm" TargetMode="External"/><Relationship Id="rId135" Type="http://schemas.openxmlformats.org/officeDocument/2006/relationships/hyperlink" Target="http://www.sec.gov/Archives/edgar/data/854775/000085477520000009/dgii-ex10b2020331x10q.htm" TargetMode="External"/><Relationship Id="rId136" Type="http://schemas.openxmlformats.org/officeDocument/2006/relationships/hyperlink" Target="http://www.sec.gov/Archives/edgar/data/854775/000085477520000009/dgii-ex10bi2020331x10q.htm" TargetMode="External"/><Relationship Id="rId137" Type="http://schemas.openxmlformats.org/officeDocument/2006/relationships/hyperlink" Target="http://www.sec.gov/Archives/edgar/data/854775/000085477520000009/dgii-ex10bii2020331x10q.htm" TargetMode="External"/><Relationship Id="rId138" Type="http://schemas.openxmlformats.org/officeDocument/2006/relationships/hyperlink" Target="http://www.sec.gov/Archives/edgar/data/854775/000085477520000009/dgii-ex10biii2020331x1.htm" TargetMode="External"/><Relationship Id="rId139" Type="http://schemas.openxmlformats.org/officeDocument/2006/relationships/hyperlink" Target="http://www.sec.gov/Archives/edgar/data/854775/000085477520000009/dgii-ex10biv2020331x10q.htm" TargetMode="External"/><Relationship Id="rId140" Type="http://schemas.openxmlformats.org/officeDocument/2006/relationships/hyperlink" Target="http://www.sec.gov/Archives/edgar/data/854775/000085477520000009/dgii-ex10bv2020331x10q.htm" TargetMode="External"/><Relationship Id="rId141" Type="http://schemas.openxmlformats.org/officeDocument/2006/relationships/hyperlink" Target="http://www.sec.gov/Archives/edgar/data/0000854775/000110465921012288/tm215266d1_10-1.htm" TargetMode="External"/><Relationship Id="rId142" Type="http://schemas.openxmlformats.org/officeDocument/2006/relationships/hyperlink" Target="http://www.sec.gov/Archives/edgar/data/0000854775/000085477521000014/dgii-ex10b_2021331x10q.htm" TargetMode="External"/><Relationship Id="rId144" Type="http://schemas.openxmlformats.org/officeDocument/2006/relationships/hyperlink" Target="http://www.sec.gov/Archives/edgar/data/0000854775/000085477521000014/dgii-ex10c_2021331x10q.htm" TargetMode="External"/><Relationship Id="rId145" Type="http://schemas.openxmlformats.org/officeDocument/2006/relationships/hyperlink" Target="http://www.sec.gov/Archives/edgar/data/0000854775/000085477521000014/dgii-ex10d_2021331x10q.htm" TargetMode="External"/><Relationship Id="rId146" Type="http://schemas.openxmlformats.org/officeDocument/2006/relationships/hyperlink" Target="http://www.sec.gov/Archives/edgar/data/0000854775/000085477521000014/dgii-ex10e_2021331x10q.htm" TargetMode="External"/><Relationship Id="rId147" Type="http://schemas.openxmlformats.org/officeDocument/2006/relationships/hyperlink" Target="http://www.sec.gov/Archives/edgar/data/0000854775/000085477521000014/dgii-ex10f_2021331x10q.htm" TargetMode="External"/><Relationship Id="rId148" Type="http://schemas.openxmlformats.org/officeDocument/2006/relationships/hyperlink" Target="http://www.sec.gov/Archives/edgar/data/0000854775/000085477521000014/dgii-ex10g_2021331x10q.htm" TargetMode="External"/><Relationship Id="rId149" Type="http://schemas.openxmlformats.org/officeDocument/2006/relationships/hyperlink" Target="http://www.sec.gov/Archives/edgar/data/854775/000095012310075076/c04585exv10.htm" TargetMode="External"/><Relationship Id="rId150" Type="http://schemas.openxmlformats.org/officeDocument/2006/relationships/hyperlink" Target="http://www.sec.gov/Archives/edgar/data/854775/000129993314001873/exhibit2.htm" TargetMode="External"/><Relationship Id="rId151" Type="http://schemas.openxmlformats.org/officeDocument/2006/relationships/hyperlink" Target="http://www.sec.gov/Archives/edgar/data/854775/000085477513000020/dgii-ex10m_2013930x10k.htm" TargetMode="External"/><Relationship Id="rId152" Type="http://schemas.openxmlformats.org/officeDocument/2006/relationships/hyperlink" Target="http://www.sec.gov/Archives/edgar/data/854775/000085477517000009/dgii-ex10a_2017331x10q.htm" TargetMode="External"/><Relationship Id="rId153" Type="http://schemas.openxmlformats.org/officeDocument/2006/relationships/hyperlink" Target="http://www.sec.gov/Archives/edgar/data/854775/000085477519000022/dgii-ex10o_2019930x10k.htm" TargetMode="External"/><Relationship Id="rId154" Type="http://schemas.openxmlformats.org/officeDocument/2006/relationships/hyperlink" Target="http://www.sec.gov/Archives/edgar/data/854775/000085477518000020/dgii-ex10o_2018930x10k.htm" TargetMode="External"/><Relationship Id="rId155" Type="http://schemas.openxmlformats.org/officeDocument/2006/relationships/hyperlink" Target="http://www.sec.gov/Archives/edgar/data/854775/000110465919028669/a19-9649_3ex10d1.htm" TargetMode="External"/><Relationship Id="rId156" Type="http://schemas.openxmlformats.org/officeDocument/2006/relationships/hyperlink" Target="http://www.sec.gov/Archives/edgar/data/854775/000110465921132717/tm2131473d1_ex10-1.htm" TargetMode="External"/><Relationship Id="rId157" Type="http://schemas.openxmlformats.org/officeDocument/2006/relationships/hyperlink" Target="http://www.sec.gov/Archives/edgar/data/0000854775/000110465922010912/tm22512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2022-11-23T11:12:53Z</dcterms:created>
  <dcterms:modified xsi:type="dcterms:W3CDTF">2022-11-23T11:12:53Z</dcterms:modified>
</cp:coreProperties>
</file>