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 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101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 (d)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2025</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OR</w:t>
      </w:r>
    </w:p>
    <w:tbl>
      <w:tblPr>
        <w:tblW w:w="101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 (d) OF THE SECURITIES EXCHANGE ACT OF 1934</w:t>
            </w:r>
          </w:p>
        </w:tc>
      </w:tr>
    </w:tbl>
    <w:p>
      <w:pPr>
        <w:pStyle w:val="TextBody"/>
        <w:bidi w:val="0"/>
        <w:spacing w:lineRule="auto" w:line="288" w:before="0" w:after="0"/>
        <w:jc w:val="center"/>
        <w:rPr/>
      </w:pP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r>
        <w:rPr>
          <w:rFonts w:ascii="Times New Roman;serif" w:hAnsi="Times New Roman;serif"/>
          <w:b/>
          <w:color w:val="000000"/>
          <w:sz w:val="18"/>
        </w:rPr>
        <w:t>.</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Commission file number: 001-34033 </w:t>
      </w:r>
    </w:p>
    <w:p>
      <w:pPr>
        <w:pStyle w:val="TextBody"/>
        <w:bidi w:val="0"/>
        <w:spacing w:before="120" w:after="283"/>
        <w:jc w:val="center"/>
        <w:rPr/>
      </w:pPr>
      <w:r>
        <w:rPr/>
        <w:drawing>
          <wp:inline distT="0" distB="0" distL="0" distR="0">
            <wp:extent cx="11239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34290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 xml:space="preserve">DIGI INTERNATIONAL INC. </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677" w:type="dxa"/>
        <w:jc w:val="left"/>
        <w:tblInd w:w="0" w:type="dxa"/>
        <w:tblLayout w:type="fixed"/>
        <w:tblCellMar>
          <w:top w:w="28" w:type="dxa"/>
          <w:left w:w="28" w:type="dxa"/>
          <w:bottom w:w="28" w:type="dxa"/>
          <w:right w:w="28" w:type="dxa"/>
        </w:tblCellMar>
      </w:tblPr>
      <w:tblGrid>
        <w:gridCol w:w="1560"/>
        <w:gridCol w:w="1374"/>
        <w:gridCol w:w="1386"/>
        <w:gridCol w:w="109"/>
        <w:gridCol w:w="109"/>
        <w:gridCol w:w="109"/>
        <w:gridCol w:w="883"/>
        <w:gridCol w:w="883"/>
        <w:gridCol w:w="1264"/>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41-1532464</w:t>
            </w:r>
          </w:p>
        </w:tc>
      </w:tr>
      <w:tr>
        <w:trPr/>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tbl>
      <w:tblPr>
        <w:tblW w:w="4178" w:type="dxa"/>
        <w:jc w:val="left"/>
        <w:tblInd w:w="0" w:type="dxa"/>
        <w:tblLayout w:type="fixed"/>
        <w:tblCellMar>
          <w:top w:w="28" w:type="dxa"/>
          <w:left w:w="28" w:type="dxa"/>
          <w:bottom w:w="28" w:type="dxa"/>
          <w:right w:w="28" w:type="dxa"/>
        </w:tblCellMar>
      </w:tblPr>
      <w:tblGrid>
        <w:gridCol w:w="683"/>
        <w:gridCol w:w="599"/>
        <w:gridCol w:w="603"/>
        <w:gridCol w:w="344"/>
        <w:gridCol w:w="344"/>
        <w:gridCol w:w="349"/>
        <w:gridCol w:w="109"/>
        <w:gridCol w:w="109"/>
        <w:gridCol w:w="109"/>
        <w:gridCol w:w="272"/>
        <w:gridCol w:w="272"/>
        <w:gridCol w:w="385"/>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9350 Excelsior Blvd.</w:t>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Suite 700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Hopkins</w:t>
            </w:r>
          </w:p>
        </w:tc>
        <w:tc>
          <w:tcPr>
            <w:tcW w:w="10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55343</w:t>
            </w:r>
          </w:p>
        </w:tc>
      </w:tr>
      <w:tr>
        <w:trPr/>
        <w:tc>
          <w:tcPr>
            <w:tcW w:w="29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(952) 912-3444 </w:t>
      </w:r>
    </w:p>
    <w:p>
      <w:pPr>
        <w:pStyle w:val="TextBody"/>
        <w:bidi w:val="0"/>
        <w:spacing w:lineRule="auto" w:line="288" w:before="20" w:after="283"/>
        <w:jc w:val="center"/>
        <w:rPr>
          <w:rFonts w:ascii="Times New Roman;serif" w:hAnsi="Times New Roman;serif"/>
          <w:b w:val="false"/>
          <w:color w:val="000000"/>
          <w:sz w:val="19"/>
        </w:rPr>
      </w:pPr>
      <w:r>
        <w:rPr>
          <w:rFonts w:ascii="Times New Roman;serif" w:hAnsi="Times New Roman;serif"/>
          <w:b w:val="false"/>
          <w:color w:val="000000"/>
          <w:sz w:val="19"/>
        </w:rPr>
        <w:t>(Registrant's telephone number, including area code)</w:t>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11" w:type="dxa"/>
        <w:jc w:val="left"/>
        <w:tblInd w:w="0" w:type="dxa"/>
        <w:tblLayout w:type="fixed"/>
        <w:tblCellMar>
          <w:top w:w="28" w:type="dxa"/>
          <w:left w:w="28" w:type="dxa"/>
          <w:bottom w:w="28" w:type="dxa"/>
          <w:right w:w="28" w:type="dxa"/>
        </w:tblCellMar>
      </w:tblPr>
      <w:tblGrid>
        <w:gridCol w:w="1090"/>
        <w:gridCol w:w="959"/>
        <w:gridCol w:w="965"/>
        <w:gridCol w:w="109"/>
        <w:gridCol w:w="109"/>
        <w:gridCol w:w="109"/>
        <w:gridCol w:w="454"/>
        <w:gridCol w:w="454"/>
        <w:gridCol w:w="456"/>
        <w:gridCol w:w="109"/>
        <w:gridCol w:w="109"/>
        <w:gridCol w:w="109"/>
        <w:gridCol w:w="1019"/>
        <w:gridCol w:w="1019"/>
        <w:gridCol w:w="1441"/>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DGII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2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59"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12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On July 25, 2025, there were 37,122,182 shares of the registrant's $.01 par value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INDEX</w:t>
      </w:r>
    </w:p>
    <w:tbl>
      <w:tblPr>
        <w:tblW w:w="8641" w:type="dxa"/>
        <w:jc w:val="left"/>
        <w:tblInd w:w="0" w:type="dxa"/>
        <w:tblLayout w:type="fixed"/>
        <w:tblCellMar>
          <w:top w:w="28" w:type="dxa"/>
          <w:left w:w="28" w:type="dxa"/>
          <w:bottom w:w="28" w:type="dxa"/>
          <w:right w:w="28" w:type="dxa"/>
        </w:tblCellMar>
      </w:tblPr>
      <w:tblGrid>
        <w:gridCol w:w="2932"/>
        <w:gridCol w:w="2582"/>
        <w:gridCol w:w="2586"/>
        <w:gridCol w:w="158"/>
        <w:gridCol w:w="158"/>
        <w:gridCol w:w="225"/>
      </w:tblGrid>
      <w:tr>
        <w:trPr/>
        <w:tc>
          <w:tcPr>
            <w:tcW w:w="2932"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0ffbf5b8b44cc1b03d406ac6dd9cb1_10">
              <w:r>
                <w:rPr>
                  <w:rStyle w:val="InternetLink"/>
                  <w:rFonts w:ascii="Times New Roman;serif" w:hAnsi="Times New Roman;serif"/>
                  <w:b w:val="false"/>
                  <w:color w:val="0000FF"/>
                  <w:sz w:val="20"/>
                  <w:u w:val="single"/>
                </w:rPr>
                <w:t>PART I. FINANCIAL INFORMATION</w:t>
              </w:r>
            </w:hyperlink>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0ffbf5b8b44cc1b03d406ac6dd9cb1_13">
              <w:r>
                <w:rPr>
                  <w:rStyle w:val="InternetLink"/>
                  <w:rFonts w:ascii="Times New Roman;serif" w:hAnsi="Times New Roman;serif"/>
                  <w:b w:val="false"/>
                  <w:color w:val="0000FF"/>
                  <w:sz w:val="20"/>
                  <w:u w:val="single"/>
                </w:rPr>
                <w:t>ITEM 1. Unaudited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0ffbf5b8b44cc1b03d406ac6dd9cb1_16">
              <w:r>
                <w:rPr>
                  <w:rStyle w:val="InternetLink"/>
                  <w:rFonts w:ascii="Times New Roman;serif" w:hAnsi="Times New Roman;serif"/>
                  <w:b w:val="false"/>
                  <w:color w:val="0000FF"/>
                  <w:sz w:val="20"/>
                  <w:u w:val="single"/>
                </w:rPr>
                <w:t>Condensed 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0ffbf5b8b44cc1b03d406ac6dd9cb1_16">
              <w:r>
                <w:rPr>
                  <w:rStyle w:val="InternetLink"/>
                  <w:rFonts w:ascii="Times New Roman;serif" w:hAnsi="Times New Roman;serif"/>
                  <w:b w:val="false"/>
                  <w:color w:val="0000FF"/>
                  <w:sz w:val="20"/>
                  <w:u w:val="single"/>
                </w:rPr>
                <w:t>1</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0ffbf5b8b44cc1b03d406ac6dd9cb1_19">
              <w:r>
                <w:rPr>
                  <w:rStyle w:val="InternetLink"/>
                  <w:rFonts w:ascii="Times New Roman;serif" w:hAnsi="Times New Roman;serif"/>
                  <w:b w:val="false"/>
                  <w:color w:val="0000FF"/>
                  <w:sz w:val="20"/>
                  <w:u w:val="single"/>
                </w:rPr>
                <w:t>Condensed Consolidated Statements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0ffbf5b8b44cc1b03d406ac6dd9cb1_19">
              <w:r>
                <w:rPr>
                  <w:rStyle w:val="InternetLink"/>
                  <w:rFonts w:ascii="Times New Roman;serif" w:hAnsi="Times New Roman;serif"/>
                  <w:b w:val="false"/>
                  <w:color w:val="0000FF"/>
                  <w:sz w:val="20"/>
                  <w:u w:val="single"/>
                </w:rPr>
                <w:t>2</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0ffbf5b8b44cc1b03d406ac6dd9cb1_22">
              <w:r>
                <w:rPr>
                  <w:rStyle w:val="InternetLink"/>
                  <w:rFonts w:ascii="Times New Roman;serif" w:hAnsi="Times New Roman;serif"/>
                  <w:b w:val="false"/>
                  <w:color w:val="0000FF"/>
                  <w:sz w:val="20"/>
                  <w:u w:val="single"/>
                </w:rPr>
                <w:t>Condensed 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0ffbf5b8b44cc1b03d406ac6dd9cb1_22">
              <w:r>
                <w:rPr>
                  <w:rStyle w:val="InternetLink"/>
                  <w:rFonts w:ascii="Times New Roman;serif" w:hAnsi="Times New Roman;serif"/>
                  <w:b w:val="false"/>
                  <w:color w:val="0000FF"/>
                  <w:sz w:val="20"/>
                  <w:u w:val="single"/>
                </w:rPr>
                <w:t>3</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0ffbf5b8b44cc1b03d406ac6dd9cb1_25">
              <w:r>
                <w:rPr>
                  <w:rStyle w:val="InternetLink"/>
                  <w:rFonts w:ascii="Times New Roman;serif" w:hAnsi="Times New Roman;serif"/>
                  <w:b w:val="false"/>
                  <w:color w:val="0000FF"/>
                  <w:sz w:val="20"/>
                  <w:u w:val="single"/>
                </w:rPr>
                <w:t>Condensed 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0ffbf5b8b44cc1b03d406ac6dd9cb1_25">
              <w:r>
                <w:rPr>
                  <w:rStyle w:val="InternetLink"/>
                  <w:rFonts w:ascii="Times New Roman;serif" w:hAnsi="Times New Roman;serif"/>
                  <w:b w:val="false"/>
                  <w:color w:val="0000FF"/>
                  <w:sz w:val="20"/>
                  <w:u w:val="single"/>
                </w:rPr>
                <w:t>4</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0ffbf5b8b44cc1b03d406ac6dd9cb1_28">
              <w:r>
                <w:rPr>
                  <w:rStyle w:val="InternetLink"/>
                  <w:rFonts w:ascii="Times New Roman;serif" w:hAnsi="Times New Roman;serif"/>
                  <w:b w:val="false"/>
                  <w:color w:val="0000FF"/>
                  <w:sz w:val="20"/>
                  <w:u w:val="single"/>
                </w:rPr>
                <w:t>Condensed Consolidated Statements of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0ffbf5b8b44cc1b03d406ac6dd9cb1_28">
              <w:r>
                <w:rPr>
                  <w:rStyle w:val="InternetLink"/>
                  <w:rFonts w:ascii="Times New Roman;serif" w:hAnsi="Times New Roman;serif"/>
                  <w:b w:val="false"/>
                  <w:color w:val="0000FF"/>
                  <w:sz w:val="20"/>
                  <w:u w:val="single"/>
                </w:rPr>
                <w:t>5</w:t>
              </w:r>
            </w:hyperlink>
          </w:p>
        </w:tc>
      </w:tr>
      <w:tr>
        <w:trPr/>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0ffbf5b8b44cc1b03d406ac6dd9cb1_31">
              <w:r>
                <w:rPr>
                  <w:rStyle w:val="InternetLink"/>
                  <w:rFonts w:ascii="Times New Roman;serif" w:hAnsi="Times New Roman;serif"/>
                  <w:b w:val="false"/>
                  <w:color w:val="0000FF"/>
                  <w:sz w:val="20"/>
                  <w:u w:val="single"/>
                </w:rPr>
                <w:t>Notes to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0ffbf5b8b44cc1b03d406ac6dd9cb1_31">
              <w:r>
                <w:rPr>
                  <w:rStyle w:val="InternetLink"/>
                  <w:rFonts w:ascii="Times New Roman;serif" w:hAnsi="Times New Roman;serif"/>
                  <w:b w:val="false"/>
                  <w:color w:val="0000FF"/>
                  <w:sz w:val="20"/>
                  <w:u w:val="single"/>
                </w:rPr>
                <w:t>6</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0ffbf5b8b44cc1b03d406ac6dd9cb1_73">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0ffbf5b8b44cc1b03d406ac6dd9cb1_73">
              <w:r>
                <w:rPr>
                  <w:rStyle w:val="InternetLink"/>
                  <w:rFonts w:ascii="Times New Roman;serif" w:hAnsi="Times New Roman;serif"/>
                  <w:b w:val="false"/>
                  <w:color w:val="0000FF"/>
                  <w:sz w:val="20"/>
                  <w:u w:val="single"/>
                </w:rPr>
                <w:t>17</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0ffbf5b8b44cc1b03d406ac6dd9cb1_82">
              <w:r>
                <w:rPr>
                  <w:rStyle w:val="InternetLink"/>
                  <w:rFonts w:ascii="Times New Roman;serif" w:hAnsi="Times New Roman;serif"/>
                  <w:b w:val="false"/>
                  <w:color w:val="0000FF"/>
                  <w:sz w:val="20"/>
                  <w:u w:val="single"/>
                </w:rPr>
                <w:t>ITEM 3. 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0ffbf5b8b44cc1b03d406ac6dd9cb1_82">
              <w:r>
                <w:rPr>
                  <w:rStyle w:val="InternetLink"/>
                  <w:rFonts w:ascii="Times New Roman;serif" w:hAnsi="Times New Roman;serif"/>
                  <w:b w:val="false"/>
                  <w:color w:val="0000FF"/>
                  <w:sz w:val="20"/>
                  <w:u w:val="single"/>
                </w:rPr>
                <w:t>25</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0ffbf5b8b44cc1b03d406ac6dd9cb1_85">
              <w:r>
                <w:rPr>
                  <w:rStyle w:val="InternetLink"/>
                  <w:rFonts w:ascii="Times New Roman;serif" w:hAnsi="Times New Roman;serif"/>
                  <w:b w:val="false"/>
                  <w:color w:val="0000FF"/>
                  <w:sz w:val="20"/>
                  <w:u w:val="single"/>
                </w:rPr>
                <w:t>ITEM 4.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0ffbf5b8b44cc1b03d406ac6dd9cb1_85">
              <w:r>
                <w:rPr>
                  <w:rStyle w:val="InternetLink"/>
                  <w:rFonts w:ascii="Times New Roman;serif" w:hAnsi="Times New Roman;serif"/>
                  <w:b w:val="false"/>
                  <w:color w:val="0000FF"/>
                  <w:sz w:val="20"/>
                  <w:u w:val="single"/>
                </w:rPr>
                <w:t>26</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0ffbf5b8b44cc1b03d406ac6dd9cb1_88">
              <w:r>
                <w:rPr>
                  <w:rStyle w:val="InternetLink"/>
                  <w:rFonts w:ascii="Times New Roman;serif" w:hAnsi="Times New Roman;serif"/>
                  <w:b w:val="false"/>
                  <w:color w:val="0000FF"/>
                  <w:sz w:val="20"/>
                  <w:u w:val="single"/>
                </w:rPr>
                <w:t>PART II.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0ffbf5b8b44cc1b03d406ac6dd9cb1_91">
              <w:r>
                <w:rPr>
                  <w:rStyle w:val="InternetLink"/>
                  <w:rFonts w:ascii="Times New Roman;serif" w:hAnsi="Times New Roman;serif"/>
                  <w:b w:val="false"/>
                  <w:color w:val="0000FF"/>
                  <w:sz w:val="20"/>
                  <w:u w:val="single"/>
                </w:rPr>
                <w:t>ITEM 1.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0ffbf5b8b44cc1b03d406ac6dd9cb1_91">
              <w:r>
                <w:rPr>
                  <w:rStyle w:val="InternetLink"/>
                  <w:rFonts w:ascii="Times New Roman;serif" w:hAnsi="Times New Roman;serif"/>
                  <w:b w:val="false"/>
                  <w:color w:val="0000FF"/>
                  <w:sz w:val="20"/>
                  <w:u w:val="single"/>
                </w:rPr>
                <w:t>27</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0ffbf5b8b44cc1b03d406ac6dd9cb1_94">
              <w:r>
                <w:rPr>
                  <w:rStyle w:val="InternetLink"/>
                  <w:rFonts w:ascii="Times New Roman;serif" w:hAnsi="Times New Roman;serif"/>
                  <w:b w:val="false"/>
                  <w:color w:val="0000FF"/>
                  <w:sz w:val="20"/>
                  <w:u w:val="single"/>
                </w:rPr>
                <w:t>ITEM 1A.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0ffbf5b8b44cc1b03d406ac6dd9cb1_94">
              <w:r>
                <w:rPr>
                  <w:rStyle w:val="InternetLink"/>
                  <w:rFonts w:ascii="Times New Roman;serif" w:hAnsi="Times New Roman;serif"/>
                  <w:b w:val="false"/>
                  <w:color w:val="0000FF"/>
                  <w:sz w:val="20"/>
                  <w:u w:val="single"/>
                </w:rPr>
                <w:t>27</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0ffbf5b8b44cc1b03d406ac6dd9cb1_97">
              <w:r>
                <w:rPr>
                  <w:rStyle w:val="InternetLink"/>
                  <w:rFonts w:ascii="Times New Roman;serif" w:hAnsi="Times New Roman;serif"/>
                  <w:b w:val="false"/>
                  <w:color w:val="0000FF"/>
                  <w:sz w:val="20"/>
                  <w:u w:val="single"/>
                </w:rPr>
                <w:t>ITEM 2. 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0ffbf5b8b44cc1b03d406ac6dd9cb1_97">
              <w:r>
                <w:rPr>
                  <w:rStyle w:val="InternetLink"/>
                  <w:rFonts w:ascii="Times New Roman;serif" w:hAnsi="Times New Roman;serif"/>
                  <w:b w:val="false"/>
                  <w:color w:val="0000FF"/>
                  <w:sz w:val="20"/>
                  <w:u w:val="single"/>
                </w:rPr>
                <w:t>28</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0ffbf5b8b44cc1b03d406ac6dd9cb1_100">
              <w:r>
                <w:rPr>
                  <w:rStyle w:val="InternetLink"/>
                  <w:rFonts w:ascii="Times New Roman;serif" w:hAnsi="Times New Roman;serif"/>
                  <w:b w:val="false"/>
                  <w:color w:val="0000FF"/>
                  <w:sz w:val="20"/>
                  <w:u w:val="single"/>
                </w:rPr>
                <w:t>ITEM 3. 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0ffbf5b8b44cc1b03d406ac6dd9cb1_100">
              <w:r>
                <w:rPr>
                  <w:rStyle w:val="InternetLink"/>
                  <w:rFonts w:ascii="Times New Roman;serif" w:hAnsi="Times New Roman;serif"/>
                  <w:b w:val="false"/>
                  <w:color w:val="0000FF"/>
                  <w:sz w:val="20"/>
                  <w:u w:val="single"/>
                </w:rPr>
                <w:t>28</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0ffbf5b8b44cc1b03d406ac6dd9cb1_103">
              <w:r>
                <w:rPr>
                  <w:rStyle w:val="InternetLink"/>
                  <w:rFonts w:ascii="Times New Roman;serif" w:hAnsi="Times New Roman;serif"/>
                  <w:b w:val="false"/>
                  <w:color w:val="0000FF"/>
                  <w:sz w:val="20"/>
                  <w:u w:val="single"/>
                </w:rPr>
                <w:t>ITEM 4. 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0ffbf5b8b44cc1b03d406ac6dd9cb1_103">
              <w:r>
                <w:rPr>
                  <w:rStyle w:val="InternetLink"/>
                  <w:rFonts w:ascii="Times New Roman;serif" w:hAnsi="Times New Roman;serif"/>
                  <w:b w:val="false"/>
                  <w:color w:val="0000FF"/>
                  <w:sz w:val="20"/>
                  <w:u w:val="single"/>
                </w:rPr>
                <w:t>28</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0ffbf5b8b44cc1b03d406ac6dd9cb1_106">
              <w:r>
                <w:rPr>
                  <w:rStyle w:val="InternetLink"/>
                  <w:rFonts w:ascii="Times New Roman;serif" w:hAnsi="Times New Roman;serif"/>
                  <w:b w:val="false"/>
                  <w:color w:val="0000FF"/>
                  <w:sz w:val="20"/>
                  <w:u w:val="single"/>
                </w:rPr>
                <w:t>ITEM 5.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0ffbf5b8b44cc1b03d406ac6dd9cb1_106">
              <w:r>
                <w:rPr>
                  <w:rStyle w:val="InternetLink"/>
                  <w:rFonts w:ascii="Times New Roman;serif" w:hAnsi="Times New Roman;serif"/>
                  <w:b w:val="false"/>
                  <w:color w:val="0000FF"/>
                  <w:sz w:val="20"/>
                  <w:u w:val="single"/>
                </w:rPr>
                <w:t>28</w:t>
              </w:r>
            </w:hyperlink>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0ffbf5b8b44cc1b03d406ac6dd9cb1_109">
              <w:r>
                <w:rPr>
                  <w:rStyle w:val="InternetLink"/>
                  <w:rFonts w:ascii="Times New Roman;serif" w:hAnsi="Times New Roman;serif"/>
                  <w:b w:val="false"/>
                  <w:color w:val="0000FF"/>
                  <w:sz w:val="20"/>
                  <w:u w:val="single"/>
                </w:rPr>
                <w:t>ITEM 6.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0ffbf5b8b44cc1b03d406ac6dd9cb1_109">
              <w:r>
                <w:rPr>
                  <w:rStyle w:val="InternetLink"/>
                  <w:rFonts w:ascii="Times New Roman;serif" w:hAnsi="Times New Roman;serif"/>
                  <w:b w:val="false"/>
                  <w:color w:val="0000FF"/>
                  <w:sz w:val="20"/>
                  <w:u w:val="single"/>
                </w:rPr>
                <w:t>29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UNAUDITED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DIGI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590" w:type="dxa"/>
        <w:jc w:val="left"/>
        <w:tblInd w:w="0" w:type="dxa"/>
        <w:tblLayout w:type="fixed"/>
        <w:tblCellMar>
          <w:top w:w="28" w:type="dxa"/>
          <w:left w:w="28" w:type="dxa"/>
          <w:bottom w:w="28" w:type="dxa"/>
          <w:right w:w="28" w:type="dxa"/>
        </w:tblCellMar>
      </w:tblPr>
      <w:tblGrid>
        <w:gridCol w:w="932"/>
        <w:gridCol w:w="821"/>
        <w:gridCol w:w="827"/>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June 30,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per share data)</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318,994 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 write-off</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8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37,653 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37,026 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36,921 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DIGI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710" w:type="dxa"/>
        <w:jc w:val="center"/>
        <w:tblInd w:w="0" w:type="dxa"/>
        <w:tblLayout w:type="fixed"/>
        <w:tblCellMar>
          <w:top w:w="28" w:type="dxa"/>
          <w:left w:w="28" w:type="dxa"/>
          <w:bottom w:w="28" w:type="dxa"/>
          <w:right w:w="28" w:type="dxa"/>
        </w:tblCellMar>
      </w:tblPr>
      <w:tblGrid>
        <w:gridCol w:w="1056"/>
        <w:gridCol w:w="929"/>
        <w:gridCol w:w="939"/>
        <w:gridCol w:w="200"/>
        <w:gridCol w:w="661"/>
        <w:gridCol w:w="111"/>
        <w:gridCol w:w="111"/>
        <w:gridCol w:w="111"/>
        <w:gridCol w:w="111"/>
        <w:gridCol w:w="200"/>
        <w:gridCol w:w="569"/>
        <w:gridCol w:w="111"/>
        <w:gridCol w:w="109"/>
        <w:gridCol w:w="109"/>
        <w:gridCol w:w="109"/>
        <w:gridCol w:w="196"/>
        <w:gridCol w:w="646"/>
        <w:gridCol w:w="109"/>
        <w:gridCol w:w="109"/>
        <w:gridCol w:w="109"/>
        <w:gridCol w:w="109"/>
        <w:gridCol w:w="196"/>
        <w:gridCol w:w="646"/>
        <w:gridCol w:w="154"/>
      </w:tblGrid>
      <w:tr>
        <w:trPr/>
        <w:tc>
          <w:tcPr>
            <w:tcW w:w="105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June 30,</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DIGI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45"/>
        <w:gridCol w:w="2277"/>
        <w:gridCol w:w="2298"/>
        <w:gridCol w:w="208"/>
        <w:gridCol w:w="782"/>
        <w:gridCol w:w="115"/>
        <w:gridCol w:w="109"/>
        <w:gridCol w:w="109"/>
        <w:gridCol w:w="109"/>
        <w:gridCol w:w="279"/>
        <w:gridCol w:w="1051"/>
        <w:gridCol w:w="223"/>
      </w:tblGrid>
      <w:tr>
        <w:trPr/>
        <w:tc>
          <w:tcPr>
            <w:tcW w:w="2645"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7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2024</w:t>
            </w:r>
          </w:p>
        </w:tc>
      </w:tr>
      <w:tr>
        <w:trPr/>
        <w:tc>
          <w:tcPr>
            <w:tcW w:w="7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share data)</w:t>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27,510 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69,640 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53,357 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127,092 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154,447 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improvements, net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34,915 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236,979 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252,909 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343,038 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342,774 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770,341 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815,075 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10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20"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23,759 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30,556 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88,709 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89,337 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123,185 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148,834 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234,040 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Commitments and Contingencies (See </w:t>
            </w:r>
            <w:hyperlink w:anchor="iad0ffbf5b8b44cc1b03d406ac6dd9cb1_64">
              <w:r>
                <w:rPr>
                  <w:rStyle w:val="InternetLink"/>
                  <w:rFonts w:ascii="Times New Roman;serif" w:hAnsi="Times New Roman;serif"/>
                  <w:b w:val="false"/>
                  <w:color w:val="0000FF"/>
                  <w:sz w:val="18"/>
                  <w:u w:val="single"/>
                </w:rPr>
                <w:t>Note 11</w:t>
              </w:r>
            </w:hyperlink>
            <w:r>
              <w:rPr>
                <w:rFonts w:ascii="Times New Roman;serif" w:hAnsi="Times New Roman;serif"/>
                <w:b w:val="false"/>
                <w:color w:val="000000"/>
                <w:sz w:val="18"/>
              </w:rPr>
              <w:t>)</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$.01 par value; 2,000,000 shares authorized; none issued and outstanding</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$.01 par value; 60,000,000 shares authorized; 43,600,897 and 42,996,725 shares issued</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432,582 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420,413 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247,350 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6,487,904 and 6,449,364 shares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(66,202)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(63,414)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621,507 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581,035 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770,341 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815,075 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before="0" w:after="0"/>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DIGI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053" w:type="dxa"/>
        <w:jc w:val="left"/>
        <w:tblInd w:w="0" w:type="dxa"/>
        <w:tblLayout w:type="fixed"/>
        <w:tblCellMar>
          <w:top w:w="28" w:type="dxa"/>
          <w:left w:w="28" w:type="dxa"/>
          <w:bottom w:w="28" w:type="dxa"/>
          <w:right w:w="28" w:type="dxa"/>
        </w:tblCellMar>
      </w:tblPr>
      <w:tblGrid>
        <w:gridCol w:w="2455"/>
        <w:gridCol w:w="2158"/>
        <w:gridCol w:w="2166"/>
        <w:gridCol w:w="196"/>
        <w:gridCol w:w="646"/>
        <w:gridCol w:w="109"/>
        <w:gridCol w:w="109"/>
        <w:gridCol w:w="109"/>
        <w:gridCol w:w="109"/>
        <w:gridCol w:w="196"/>
        <w:gridCol w:w="646"/>
        <w:gridCol w:w="154"/>
      </w:tblGrid>
      <w:tr>
        <w:trPr/>
        <w:tc>
          <w:tcPr>
            <w:tcW w:w="2455"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June 30,</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equipment and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of 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accrual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equipment, improvements and certain other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equipment, improvements and certain other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(276,225)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stock option plan transactions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purchase plan transactions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for net share settlement of share-based payment options and awards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schedule of 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of inventory to property, equipment and improvements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for purchase of property, equipment, improvements and certain other intangible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before="0" w:after="0"/>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DIGI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407" w:type="dxa"/>
        <w:jc w:val="center"/>
        <w:tblInd w:w="0" w:type="dxa"/>
        <w:tblLayout w:type="fixed"/>
        <w:tblCellMar>
          <w:top w:w="28" w:type="dxa"/>
          <w:left w:w="28" w:type="dxa"/>
          <w:bottom w:w="28" w:type="dxa"/>
          <w:right w:w="28" w:type="dxa"/>
        </w:tblCellMar>
      </w:tblPr>
      <w:tblGrid>
        <w:gridCol w:w="654"/>
        <w:gridCol w:w="258"/>
        <w:gridCol w:w="259"/>
        <w:gridCol w:w="109"/>
        <w:gridCol w:w="109"/>
        <w:gridCol w:w="109"/>
        <w:gridCol w:w="323"/>
        <w:gridCol w:w="323"/>
        <w:gridCol w:w="186"/>
        <w:gridCol w:w="109"/>
        <w:gridCol w:w="109"/>
        <w:gridCol w:w="109"/>
        <w:gridCol w:w="196"/>
        <w:gridCol w:w="421"/>
        <w:gridCol w:w="109"/>
        <w:gridCol w:w="109"/>
        <w:gridCol w:w="109"/>
        <w:gridCol w:w="109"/>
        <w:gridCol w:w="278"/>
        <w:gridCol w:w="278"/>
        <w:gridCol w:w="186"/>
        <w:gridCol w:w="109"/>
        <w:gridCol w:w="109"/>
        <w:gridCol w:w="109"/>
        <w:gridCol w:w="196"/>
        <w:gridCol w:w="661"/>
        <w:gridCol w:w="109"/>
        <w:gridCol w:w="109"/>
        <w:gridCol w:w="109"/>
        <w:gridCol w:w="109"/>
        <w:gridCol w:w="196"/>
        <w:gridCol w:w="736"/>
        <w:gridCol w:w="109"/>
        <w:gridCol w:w="109"/>
        <w:gridCol w:w="109"/>
        <w:gridCol w:w="109"/>
        <w:gridCol w:w="196"/>
        <w:gridCol w:w="736"/>
        <w:gridCol w:w="109"/>
        <w:gridCol w:w="109"/>
        <w:gridCol w:w="109"/>
        <w:gridCol w:w="109"/>
        <w:gridCol w:w="227"/>
        <w:gridCol w:w="831"/>
        <w:gridCol w:w="128"/>
        <w:gridCol w:w="109"/>
        <w:gridCol w:w="109"/>
        <w:gridCol w:w="109"/>
        <w:gridCol w:w="196"/>
        <w:gridCol w:w="736"/>
        <w:gridCol w:w="154"/>
      </w:tblGrid>
      <w:tr>
        <w:trPr/>
        <w:tc>
          <w:tcPr>
            <w:tcW w:w="6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Stockholders'</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42,854 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(24,663)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for net share settlement of share-based payment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under stock award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42,882 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(24,728)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563,054 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on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(27,011)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for net share settlement of share-based payment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under stock award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42,882 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(24,728)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563,054 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43,562 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for net share settlement of share-based payment options and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under stock award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43,601 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(23,482)</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621,507 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42,997 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for net share settlement of share-based payment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under stock award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43,601 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621,507 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accompanying notes are an integral part of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70"/>
        <w:jc w:val="center"/>
        <w:rPr>
          <w:rFonts w:ascii="Times New Roman;serif" w:hAnsi="Times New Roman;serif"/>
          <w:b/>
          <w:color w:val="000000"/>
          <w:sz w:val="20"/>
        </w:rPr>
      </w:pPr>
      <w:r>
        <w:rPr>
          <w:rFonts w:ascii="Times New Roman;serif" w:hAnsi="Times New Roman;serif"/>
          <w:b/>
          <w:color w:val="000000"/>
          <w:sz w:val="20"/>
        </w:rPr>
        <w:t>DIGI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BASIS OF PRESENTATION OF UNAUDITED INTERIM CONDENSED CONSOLIDATED FINANCIAL STATEMENTS AND SIGNIFICANT ACCOUNTING POLICIES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200" w:after="283"/>
        <w:jc w:val="left"/>
        <w:rPr/>
      </w:pPr>
      <w:r>
        <w:rPr>
          <w:rFonts w:ascii="Times New Roman;serif" w:hAnsi="Times New Roman;serif"/>
          <w:b w:val="false"/>
          <w:color w:val="000000"/>
          <w:sz w:val="20"/>
        </w:rPr>
        <w:t xml:space="preserve">The unaudited condensed consolidated financial statements of Digi International Inc. ("we," "us," "our," "Digi" or "the Company") have been prepared in accordance with the rules and regulations of the U.S. Securities and Exchange Commission applicable to interim financial statements. While these financial statements reflect all normal recurring adjustments that are, in the opinion of management, necessary for fair presentation of the results of the interim period, they do not include all of the information and footnotes required by U.S. generally accepted accounting principles ("GAAP") for complete financial statements. These financial statements should be read in conjunction with the financial statement disclosures in Part I, Item 1 of our Annual Report on </w:t>
      </w:r>
      <w:hyperlink r:id="rId3">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year ended September 30, 2024. We use the same accounting policies in preparing quarterly and annual financial statements. The quarterly results of operations are not necessarily indicative of the results to be expected for the full year.</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 Not Yet Adopted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Financial Accounting Standards Board ("FASB") issued Accounting Standards Update ("ASU") 2024-03, Income Statement - Reporting Comprehensive Income - Expense Disaggregation Disclosures (Subtopic 220-40), “Disaggregation of Income Statement Expenses,” which improves disclosures about a company’s expenses and provides more detailed information about the types of expenses in commonly presented expense captions. This amendment is effective for our fiscal year ending September 30, 2028 and interim periods within our fiscal year ending September 30, 2029. We are currently assessing the impact of this guidance on our disclosures.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2023, FASB issued ASU 2023-09, Income Taxes (Topic 740), “Improvements to Income Tax Disclosures,” which enhances the transparency and decision usefulness of income tax disclosures. This amendment is effective for our fiscal year ending September 30, 2028 and interim periods within our fiscal year ending September 30, 2029. We are currently assessing the impact of this guidance on our disclosures.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2023, FASB issued ASU 2023-07, Segment Reporting (Topic 280): Improvements to Reportable Segment Disclosures. This amendment is effective for our fiscal year ending September 30, 2025 and interim periods within our fiscal year ending September 30, 2026. We are currently assessing the impact of this guidance on our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2. EARNINGS PER SHARE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the numerators and denominators in the net income per common share calculations (in thousands, except per common share data):</w:t>
      </w:r>
    </w:p>
    <w:tbl>
      <w:tblPr>
        <w:tblW w:w="10205" w:type="dxa"/>
        <w:jc w:val="left"/>
        <w:tblInd w:w="0" w:type="dxa"/>
        <w:tblLayout w:type="fixed"/>
        <w:tblCellMar>
          <w:top w:w="28" w:type="dxa"/>
          <w:left w:w="28" w:type="dxa"/>
          <w:bottom w:w="28" w:type="dxa"/>
          <w:right w:w="28" w:type="dxa"/>
        </w:tblCellMar>
      </w:tblPr>
      <w:tblGrid>
        <w:gridCol w:w="1810"/>
        <w:gridCol w:w="1596"/>
        <w:gridCol w:w="1613"/>
        <w:gridCol w:w="219"/>
        <w:gridCol w:w="752"/>
        <w:gridCol w:w="113"/>
        <w:gridCol w:w="113"/>
        <w:gridCol w:w="113"/>
        <w:gridCol w:w="113"/>
        <w:gridCol w:w="219"/>
        <w:gridCol w:w="642"/>
        <w:gridCol w:w="113"/>
        <w:gridCol w:w="109"/>
        <w:gridCol w:w="109"/>
        <w:gridCol w:w="109"/>
        <w:gridCol w:w="211"/>
        <w:gridCol w:w="721"/>
        <w:gridCol w:w="109"/>
        <w:gridCol w:w="109"/>
        <w:gridCol w:w="109"/>
        <w:gridCol w:w="109"/>
        <w:gridCol w:w="211"/>
        <w:gridCol w:w="721"/>
        <w:gridCol w:w="162"/>
      </w:tblGrid>
      <w:tr>
        <w:trPr/>
        <w:tc>
          <w:tcPr>
            <w:tcW w:w="1810"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50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5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1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01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net income per common share — weighted average shares outstanding</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restricted stock units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net income per common share — adjusted weighted average shares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01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01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01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01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diluted</w:t>
            </w:r>
          </w:p>
        </w:tc>
        <w:tc>
          <w:tcPr>
            <w:tcW w:w="2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Digi excludes certain stock options and restricted stock unit awards that would have an anti-dilutive effect on our diluted net income per share calculation. For the three months ended June 30, 2025 and 2024, 337,179 and 646,564 shares outstanding were excluded, respectively. For the nine months ended June 30, 2025 and 2024, 206,008 and 710,370 shares outstanding were excluded,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3. SELECTED BALANCE SHEET DATA</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selected balance sheet data (in thousands):</w:t>
      </w:r>
    </w:p>
    <w:tbl>
      <w:tblPr>
        <w:tblW w:w="7668" w:type="dxa"/>
        <w:jc w:val="left"/>
        <w:tblInd w:w="0" w:type="dxa"/>
        <w:tblLayout w:type="fixed"/>
        <w:tblCellMar>
          <w:top w:w="28" w:type="dxa"/>
          <w:left w:w="28" w:type="dxa"/>
          <w:bottom w:w="28" w:type="dxa"/>
          <w:right w:w="28" w:type="dxa"/>
        </w:tblCellMar>
      </w:tblPr>
      <w:tblGrid>
        <w:gridCol w:w="1808"/>
        <w:gridCol w:w="1590"/>
        <w:gridCol w:w="1597"/>
        <w:gridCol w:w="211"/>
        <w:gridCol w:w="721"/>
        <w:gridCol w:w="109"/>
        <w:gridCol w:w="109"/>
        <w:gridCol w:w="109"/>
        <w:gridCol w:w="109"/>
        <w:gridCol w:w="253"/>
        <w:gridCol w:w="867"/>
        <w:gridCol w:w="185"/>
      </w:tblGrid>
      <w:tr>
        <w:trPr/>
        <w:tc>
          <w:tcPr>
            <w:tcW w:w="1808"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reserve for future credit returns and pricing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53,357 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4. GOODWILL AND OTHER INTANGIBLE ASSETS, NET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 were (in thousands):</w:t>
      </w:r>
    </w:p>
    <w:tbl>
      <w:tblPr>
        <w:tblW w:w="10205" w:type="dxa"/>
        <w:jc w:val="left"/>
        <w:tblInd w:w="0" w:type="dxa"/>
        <w:tblLayout w:type="fixed"/>
        <w:tblCellMar>
          <w:top w:w="28" w:type="dxa"/>
          <w:left w:w="28" w:type="dxa"/>
          <w:bottom w:w="28" w:type="dxa"/>
          <w:right w:w="28" w:type="dxa"/>
        </w:tblCellMar>
      </w:tblPr>
      <w:tblGrid>
        <w:gridCol w:w="653"/>
        <w:gridCol w:w="465"/>
        <w:gridCol w:w="468"/>
        <w:gridCol w:w="211"/>
        <w:gridCol w:w="826"/>
        <w:gridCol w:w="109"/>
        <w:gridCol w:w="109"/>
        <w:gridCol w:w="109"/>
        <w:gridCol w:w="109"/>
        <w:gridCol w:w="211"/>
        <w:gridCol w:w="856"/>
        <w:gridCol w:w="109"/>
        <w:gridCol w:w="109"/>
        <w:gridCol w:w="109"/>
        <w:gridCol w:w="109"/>
        <w:gridCol w:w="211"/>
        <w:gridCol w:w="826"/>
        <w:gridCol w:w="109"/>
        <w:gridCol w:w="109"/>
        <w:gridCol w:w="109"/>
        <w:gridCol w:w="109"/>
        <w:gridCol w:w="211"/>
        <w:gridCol w:w="826"/>
        <w:gridCol w:w="109"/>
        <w:gridCol w:w="109"/>
        <w:gridCol w:w="109"/>
        <w:gridCol w:w="109"/>
        <w:gridCol w:w="211"/>
        <w:gridCol w:w="856"/>
        <w:gridCol w:w="109"/>
        <w:gridCol w:w="109"/>
        <w:gridCol w:w="109"/>
        <w:gridCol w:w="109"/>
        <w:gridCol w:w="211"/>
        <w:gridCol w:w="826"/>
        <w:gridCol w:w="157"/>
      </w:tblGrid>
      <w:tr>
        <w:trPr/>
        <w:tc>
          <w:tcPr>
            <w:tcW w:w="65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r>
      <w:tr>
        <w:trPr/>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w:t>
              <w:br/>
              <w:t>amort.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w:t>
              <w:br/>
              <w:t>amort.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and core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agreements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252,909 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intangible assets was $5.2 million and $6.1 million for the three months ended June 30, 2025 and 2024, respectively. Amortization expense for intangible assets was $16.2 million and $18.4 million for the nine months ended June 30, 2025 and 2024, respectively. Amortization expense is recorded on our condensed consolidated statements of operations within cost of sales and in general and administrative expense.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Estimated amortization expense related to intangible assets for the remainder of fiscal 2025 and the five succeeding fiscal years is (in thousands):</w:t>
      </w:r>
    </w:p>
    <w:tbl>
      <w:tblPr>
        <w:tblW w:w="2735" w:type="dxa"/>
        <w:jc w:val="left"/>
        <w:tblInd w:w="0" w:type="dxa"/>
        <w:tblLayout w:type="fixed"/>
        <w:tblCellMar>
          <w:top w:w="28" w:type="dxa"/>
          <w:left w:w="28" w:type="dxa"/>
          <w:bottom w:w="28" w:type="dxa"/>
          <w:right w:w="28" w:type="dxa"/>
        </w:tblCellMar>
      </w:tblPr>
      <w:tblGrid>
        <w:gridCol w:w="635"/>
        <w:gridCol w:w="557"/>
        <w:gridCol w:w="562"/>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(three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by reportable segments are (in thousands):</w:t>
      </w:r>
    </w:p>
    <w:tbl>
      <w:tblPr>
        <w:tblW w:w="8075" w:type="dxa"/>
        <w:jc w:val="left"/>
        <w:tblInd w:w="0" w:type="dxa"/>
        <w:tblLayout w:type="fixed"/>
        <w:tblCellMar>
          <w:top w:w="28" w:type="dxa"/>
          <w:left w:w="28" w:type="dxa"/>
          <w:bottom w:w="28" w:type="dxa"/>
          <w:right w:w="28" w:type="dxa"/>
        </w:tblCellMar>
      </w:tblPr>
      <w:tblGrid>
        <w:gridCol w:w="1215"/>
        <w:gridCol w:w="1070"/>
        <w:gridCol w:w="1074"/>
        <w:gridCol w:w="317"/>
        <w:gridCol w:w="1244"/>
        <w:gridCol w:w="164"/>
        <w:gridCol w:w="109"/>
        <w:gridCol w:w="109"/>
        <w:gridCol w:w="109"/>
        <w:gridCol w:w="211"/>
        <w:gridCol w:w="826"/>
        <w:gridCol w:w="109"/>
        <w:gridCol w:w="109"/>
        <w:gridCol w:w="109"/>
        <w:gridCol w:w="109"/>
        <w:gridCol w:w="211"/>
        <w:gridCol w:w="826"/>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 2025</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IoT</w:t>
              <w:br/>
              <w:t>Products &amp;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IoT</w:t>
              <w:br/>
              <w:t>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on September 30, 2024</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175,093 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on June 30, 2025</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175,475 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20"/>
        </w:rPr>
        <w:t xml:space="preserve">Goodwill represents the excess of cost over the fair value of net identifiable assets acquired. Goodwill is quantitatively tested for impairment on an annual basis as of June 30, or more frequently if events or circumstances occur which could indicate impairment. We have two reportable segments that are also reporting units, IoT Products &amp; Services and IoT Solutions (see </w:t>
      </w:r>
      <w:hyperlink w:anchor="iad0ffbf5b8b44cc1b03d406ac6dd9cb1_49">
        <w:r>
          <w:rPr>
            <w:rStyle w:val="InternetLink"/>
            <w:rFonts w:ascii="Times New Roman;serif" w:hAnsi="Times New Roman;serif"/>
            <w:b w:val="false"/>
            <w:color w:val="0000FF"/>
            <w:sz w:val="20"/>
            <w:u w:val="single"/>
          </w:rPr>
          <w:t>Note 6</w:t>
        </w:r>
      </w:hyperlink>
      <w:r>
        <w:rPr>
          <w:rFonts w:ascii="Times New Roman;serif" w:hAnsi="Times New Roman;serif"/>
          <w:b w:val="false"/>
          <w:color w:val="000000"/>
          <w:sz w:val="20"/>
        </w:rPr>
        <w:t>). Each of these reporting units was tested individually for impairment during our annual impairment test completed as of the end of the third fiscal quarter of fiscal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Assumptions and estimates to determine fair values under the income and market approaches are complex and often subjective. They can be affected by a variety of factors. These include external factors such as industry and economic trends. They also include internal factors such as changes in our business strategy and our internal forecasts. Changes in circumstances or a potential event could affect the estimated fair values negatively. If our future operating results do not meet current forecasts or if we experience a sustained decline in our market capitalization that is determined to be indicative of a reduction in fair value of one or more of our reporting units within either of our segments, we may be required to record future impairment charges for goodwill.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4. GOODWILL AND OTHER INTANGIBLE ASSETS, NET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Results of our Fiscal 2025 Annual Impairment Test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2025, we had a total of $175.5 million of goodwill for the IoT Products &amp; Services reporting unit and $167.6 million of goodwill for the IoT Solutions reporting unit. At June 30, 2025, the fair value of goodwill exceeded the carrying value for each reporting units and no impairment was recorded.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INDEBTEDNESS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December 7, 2023, Digi entered into a credit agreement (the “Credit Agreement”) with BMO Bank N.A. (“BMO”), as administrative and collateral agent, BMO Capital Markets Corp., BofA Securities, Inc. and MUFG Bank, Ltd., as joint lead arrangers and joint bookrunners, and the several banks and other financial institutions or entities from time to time party thereto as lenders (the “Lenders”). The Credit Agreement provides Digi with a senior secured credit facility (the “Credit Facility”). The Credit Facility includes a $250 million senior secured revolving credit facility (the “Revolving Loan”), with an uncommitted accordion feature that provides for additional borrowing capacity of up to the greater of $95 million or one hundred percent of trailing twelve month adjusted earnings before interest, taxes, depreciation, and amortization ("EBITDA"). The Credit Facility also contains a $10 million letter of credit sublimit and $10 million swingline sub-facility. Digi may use the proceeds of the Credit Facility in the future for general corporate purposes.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Digi borrowed a total of $215 million under the Credit Facility to repay all obligations and to pay related fees and expenses under the Third Amended and Restated Credit Agreement dated as of December 22, 2021 (the “Prior Credit Facility”), by and among Digi, as the borrower, BMO, as administrative agent and collateral agent, BMO Capital Markets Corp., as sole lead arranger and bookrunner, and the other lenders from time-to-time party thereto. The Prior Credit Facility consisted of a $350 million term loan B secured loan and a $35 million revolving credit facility that included a $10 million letter of credit subfacility and $10 million swingline subfacility.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Facility bear interest at a rate per annum equal to Term SOFR with a floor of 0.00% for an interest period of one, three, or six months as selected by Digi, reset at the end of the selected interest period (or a replacement benchmark rate if Term SOFR is no longer available) plus the applicable margin or a base rate plus the applicable margin. The base rate is determined by reference to the highest of BMO’s prime rate, the rate determined by BMO to be the average rate of Federal funds in the secondary market plus 0.50%, or one-month SOFR plus 1.00%. The applicable margin for loans under the Credit Facility is in a range of 1.75% to 2.75% for Term SOFR loans and 0.75% to 1.75% for base rate loans, depending on Digi’s total net leverage ratio. All borrowings in the period were made at Term SOFR for a one-month interest election period plus an applicable margin of 2.25% through February 13, 2025 and at Term SOFR for a six-month interest election period plus an applicable margin of 1.75% following that date. Our weighted average interest rate for our Credit Facility was 6.10% as of June 30, 2025.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to paying interest on the outstanding principal, Digi is required to pay a commitment fee on the unutilized commitments under the Credit Facility. The commitment fee is between 0.20% and 0.35% depending on Digi’s total net leverage ratio. Our weighted average Revolving Loan commitment fee was 0.20% as of June 30, 2025. The Credit Facility is secured by substantially all of the property of Digi and its domestic subsidiaries.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debt issuance costs and remaining balance under the Prior Credit Facility totaling $9.7 million at December 7, 2023 were written off and included in other expenses upon the entry into the Credit Agreement. Digi incurred an additional $1.3 million in debt issuance costs upon entry into the Credit Agreement, with this amount amortized over the term of the Credit Agreement and reported in interest expense.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Revolving Loan is due in a lump sum payment at maturity December 7, 2028, if any amounts are drawn. The fair value of the Revolving Loan approximated carrying value at June 30,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our long-term indebtedness at June 30, 2025 and September 30, 2024 (in thousands):</w:t>
      </w:r>
    </w:p>
    <w:tbl>
      <w:tblPr>
        <w:tblW w:w="10193" w:type="dxa"/>
        <w:jc w:val="center"/>
        <w:tblInd w:w="0" w:type="dxa"/>
        <w:tblLayout w:type="fixed"/>
        <w:tblCellMar>
          <w:top w:w="28" w:type="dxa"/>
          <w:left w:w="28" w:type="dxa"/>
          <w:bottom w:w="28" w:type="dxa"/>
          <w:right w:w="28" w:type="dxa"/>
        </w:tblCellMar>
      </w:tblPr>
      <w:tblGrid>
        <w:gridCol w:w="1669"/>
        <w:gridCol w:w="1463"/>
        <w:gridCol w:w="1473"/>
        <w:gridCol w:w="109"/>
        <w:gridCol w:w="109"/>
        <w:gridCol w:w="109"/>
        <w:gridCol w:w="447"/>
        <w:gridCol w:w="1527"/>
        <w:gridCol w:w="230"/>
        <w:gridCol w:w="109"/>
        <w:gridCol w:w="109"/>
        <w:gridCol w:w="109"/>
        <w:gridCol w:w="483"/>
        <w:gridCol w:w="1894"/>
        <w:gridCol w:w="353"/>
      </w:tblGrid>
      <w:tr>
        <w:trPr/>
        <w:tc>
          <w:tcPr>
            <w:tcW w:w="166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on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on September 30, 2024</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124,300 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0"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 of unamortized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40,085 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123,185 </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5. INDEBTEDNESS (CONTINUED)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Covenants and Security Interest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requires Digi to maintain a minimum interest coverage ratio of 3.00 to 1.00 and a total net leverage ratio not to exceed 3.00 to 1.00, with certain exceptions for a covenant holiday of up to 3.50 to 1.00 after certain material acquisitions. The total net leverage ratio is defined as the ratio of Digi’s consolidated total funded indebtedness minus unrestricted cash as of such date up to a maximum amount not to exceed $50 million, to consolidated EBITDA for such period. The Credit Agreement also contains other customary affirmative and negative covenants, including covenants that restrict the ability of Digi and its subsidiaries to incur additional indebtedness, dispose of significant assets, make certain investments, including any acquisitions other than permitted acquisitions, make certain restricted payments, enter into sale and leaseback transactions or grant additional liens on its assets, subject to certain limitations. Amounts borrowed under the Credit Facility are secured by substantially all of our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6. SEGMENT INFORMATION</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a single segment manager over IoT Products &amp; Services and a single manager over IoT Solutions. As a result we have two operating segments. These two operating segments also serve as our reportable segments: IoT Products &amp; Services and IoT Solutions. IoT Products &amp; Services derives revenue from the sale of products and services that help original equipment manufacturers ("OEMs"), enterprise and government customers create and deploy, secure IoT connectivity solutions. IoT Solutions derives revenue from the sale of software-based services that are enabled through the use of connected devices that utilize cellular communications.</w:t>
      </w:r>
    </w:p>
    <w:p>
      <w:pPr>
        <w:pStyle w:val="TextBody"/>
        <w:bidi w:val="0"/>
        <w:spacing w:lineRule="auto" w:line="264" w:before="160" w:after="283"/>
        <w:jc w:val="left"/>
        <w:rPr>
          <w:rFonts w:ascii="Times New Roman;serif" w:hAnsi="Times New Roman;serif"/>
          <w:b w:val="false"/>
          <w:color w:val="000000"/>
          <w:sz w:val="20"/>
        </w:rPr>
      </w:pPr>
      <w:r>
        <w:rPr>
          <w:rFonts w:ascii="Times New Roman;serif" w:hAnsi="Times New Roman;serif"/>
          <w:b w:val="false"/>
          <w:color w:val="000000"/>
          <w:sz w:val="20"/>
        </w:rPr>
        <w:t>Our CEO is our Chief Operating Decision Maker ("CODM"). The CODM uses segment gross profit to measure profitability within each of our reportable segments.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Summary operating results for each of our segments were (in thousands):</w:t>
      </w:r>
    </w:p>
    <w:tbl>
      <w:tblPr>
        <w:tblW w:w="8007" w:type="dxa"/>
        <w:jc w:val="center"/>
        <w:tblInd w:w="0" w:type="dxa"/>
        <w:tblLayout w:type="fixed"/>
        <w:tblCellMar>
          <w:top w:w="28" w:type="dxa"/>
          <w:left w:w="28" w:type="dxa"/>
          <w:bottom w:w="28" w:type="dxa"/>
          <w:right w:w="28" w:type="dxa"/>
        </w:tblCellMar>
      </w:tblPr>
      <w:tblGrid>
        <w:gridCol w:w="748"/>
        <w:gridCol w:w="658"/>
        <w:gridCol w:w="66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 expense was (in thousands):</w:t>
      </w:r>
    </w:p>
    <w:tbl>
      <w:tblPr>
        <w:tblW w:w="9328" w:type="dxa"/>
        <w:jc w:val="center"/>
        <w:tblInd w:w="0" w:type="dxa"/>
        <w:tblLayout w:type="fixed"/>
        <w:tblCellMar>
          <w:top w:w="28" w:type="dxa"/>
          <w:left w:w="28" w:type="dxa"/>
          <w:bottom w:w="28" w:type="dxa"/>
          <w:right w:w="28" w:type="dxa"/>
        </w:tblCellMar>
      </w:tblPr>
      <w:tblGrid>
        <w:gridCol w:w="1359"/>
        <w:gridCol w:w="1192"/>
        <w:gridCol w:w="1199"/>
        <w:gridCol w:w="109"/>
        <w:gridCol w:w="109"/>
        <w:gridCol w:w="109"/>
        <w:gridCol w:w="237"/>
        <w:gridCol w:w="693"/>
        <w:gridCol w:w="122"/>
        <w:gridCol w:w="122"/>
        <w:gridCol w:w="122"/>
        <w:gridCol w:w="122"/>
        <w:gridCol w:w="237"/>
        <w:gridCol w:w="693"/>
        <w:gridCol w:w="122"/>
        <w:gridCol w:w="109"/>
        <w:gridCol w:w="109"/>
        <w:gridCol w:w="109"/>
        <w:gridCol w:w="211"/>
        <w:gridCol w:w="721"/>
        <w:gridCol w:w="109"/>
        <w:gridCol w:w="109"/>
        <w:gridCol w:w="109"/>
        <w:gridCol w:w="109"/>
        <w:gridCol w:w="211"/>
        <w:gridCol w:w="721"/>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Total expended for property, plant and equipment was (in thousands):</w:t>
      </w:r>
    </w:p>
    <w:tbl>
      <w:tblPr>
        <w:tblW w:w="6935" w:type="dxa"/>
        <w:jc w:val="center"/>
        <w:tblInd w:w="0" w:type="dxa"/>
        <w:tblLayout w:type="fixed"/>
        <w:tblCellMar>
          <w:top w:w="28" w:type="dxa"/>
          <w:left w:w="28" w:type="dxa"/>
          <w:bottom w:w="28" w:type="dxa"/>
          <w:right w:w="28" w:type="dxa"/>
        </w:tblCellMar>
      </w:tblPr>
      <w:tblGrid>
        <w:gridCol w:w="1511"/>
        <w:gridCol w:w="1325"/>
        <w:gridCol w:w="1333"/>
        <w:gridCol w:w="109"/>
        <w:gridCol w:w="109"/>
        <w:gridCol w:w="109"/>
        <w:gridCol w:w="229"/>
        <w:gridCol w:w="671"/>
        <w:gridCol w:w="118"/>
        <w:gridCol w:w="118"/>
        <w:gridCol w:w="118"/>
        <w:gridCol w:w="118"/>
        <w:gridCol w:w="229"/>
        <w:gridCol w:w="671"/>
        <w:gridCol w:w="167"/>
      </w:tblGrid>
      <w:tr>
        <w:trPr/>
        <w:tc>
          <w:tcPr>
            <w:tcW w:w="151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expended for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Excluded from these amounts are $6,859 and $8,354 of transfers of inventory to property plant and equipment for subscriber assets for the nine months ended June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6. SEGMENT INFORMATION (CONTINUED)</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Total assets for each of our segments were (in thousands):</w:t>
      </w:r>
    </w:p>
    <w:tbl>
      <w:tblPr>
        <w:tblW w:w="5174" w:type="dxa"/>
        <w:jc w:val="center"/>
        <w:tblInd w:w="0" w:type="dxa"/>
        <w:tblLayout w:type="fixed"/>
        <w:tblCellMar>
          <w:top w:w="28" w:type="dxa"/>
          <w:left w:w="28" w:type="dxa"/>
          <w:bottom w:w="28" w:type="dxa"/>
          <w:right w:w="28" w:type="dxa"/>
        </w:tblCellMar>
      </w:tblPr>
      <w:tblGrid>
        <w:gridCol w:w="750"/>
        <w:gridCol w:w="658"/>
        <w:gridCol w:w="662"/>
        <w:gridCol w:w="109"/>
        <w:gridCol w:w="109"/>
        <w:gridCol w:w="109"/>
        <w:gridCol w:w="211"/>
        <w:gridCol w:w="826"/>
        <w:gridCol w:w="109"/>
        <w:gridCol w:w="109"/>
        <w:gridCol w:w="109"/>
        <w:gridCol w:w="109"/>
        <w:gridCol w:w="231"/>
        <w:gridCol w:w="905"/>
        <w:gridCol w:w="168"/>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Products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376,998 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815,075 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*Unallocated consists of cash and cash equivalents.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7. REVENUE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Revenue Disaggregation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revenue by geographic location of our customers (in thousands):</w:t>
      </w:r>
    </w:p>
    <w:tbl>
      <w:tblPr>
        <w:tblW w:w="9179" w:type="dxa"/>
        <w:jc w:val="left"/>
        <w:tblInd w:w="0" w:type="dxa"/>
        <w:tblLayout w:type="fixed"/>
        <w:tblCellMar>
          <w:top w:w="28" w:type="dxa"/>
          <w:left w:w="28" w:type="dxa"/>
          <w:bottom w:w="28" w:type="dxa"/>
          <w:right w:w="28" w:type="dxa"/>
        </w:tblCellMar>
      </w:tblPr>
      <w:tblGrid>
        <w:gridCol w:w="1290"/>
        <w:gridCol w:w="1137"/>
        <w:gridCol w:w="114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primarily the 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&amp;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revenue by the timing of revenue recognition (in thousands):</w:t>
      </w:r>
    </w:p>
    <w:tbl>
      <w:tblPr>
        <w:tblW w:w="8069" w:type="dxa"/>
        <w:jc w:val="left"/>
        <w:tblInd w:w="0" w:type="dxa"/>
        <w:tblLayout w:type="fixed"/>
        <w:tblCellMar>
          <w:top w:w="28" w:type="dxa"/>
          <w:left w:w="28" w:type="dxa"/>
          <w:bottom w:w="28" w:type="dxa"/>
          <w:right w:w="28" w:type="dxa"/>
        </w:tblCellMar>
      </w:tblPr>
      <w:tblGrid>
        <w:gridCol w:w="890"/>
        <w:gridCol w:w="783"/>
        <w:gridCol w:w="78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had one distributor customer of Digi's IoT Products &amp; Services segment that represented 16% of consolidated revenue for the three and nine months ended June 30, 2025. No customers represented over 10% of consolidated revenue for the three and nine months ended June 30, 2024.</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Contract Related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contract related assets consist of subscriber assets. Subscriber assets are equipment that we provide to customers pursuant to subscription-based contracts.  In these cases, we retain the ownership of the equipment a customer uses and charge the customer subscription fees to receive our end-to-end solutions. The total net book value of subscriber assets of $24.2 million and $23.6 million as of June 30, 2025 and September 30, 2024, respectively, are included in property, equipment and improvements, net. Depreciation expense for these subscriber assets, which is included in cost of sales, was $2.3 million and $1.4 million for the three months ended June 30, 2025 and 2024, respectively. Depreciation expense for these subscriber assets, which is included in cost of sales, was $6.3 million and $3.5 million for the nine months ended June 30, 2025 and 2024, respectively.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Contract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at Digi consist of products and services that have been fulfilled, but for which revenue has not yet been recognized. Our contract asset balances were immaterial as of June 30, 2025 and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7. REVENUE (CONTINUED)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Contract Liabilities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consist of unearned revenue related to annual or multi-year contracts for subscription services and related implementation fees, as well as product sales that have been invoiced, but not yet fulfilled. The timing of revenue recognition may differ from the timing of invoicing to customers. Customers are invoiced for subscription services on a monthly, quarterly or annual basis.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contract liabilities were $40.0 million and $37.5 million at June 30, 2025 and 2024,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contract liability balances of $42.5 million and $38.0 million as of March 31, 2025 and 2024, respectively. Of these balances, Digi recognized $11.0 million and $7.7 million as revenue in the three months ended June 30, 2025 and 2024, respectively. There were contract liability balances of $36.8 million and $27.9 million as of September 30, 2024 and 2023, respectively. Digi recognized $22.5 million and $17.6 million as revenue in the nine months ended June 30, 2025 and 2024, respectively.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Remaining Performance Obligation</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we had approximately $158.9 million of remaining performance obligations on contracts with an original duration of one year or more. We expect to recognize revenue on approximately $78.4 million of remaining performance obligations over the next 12 months. We expect to recognize revenue from the remaining performance obligations over a range of two to five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8. INCOME TAXES</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Our income tax expense was $6.6 million for the nine months ended June 30, 2025. Included in this was a net tax expense of $0.3 million discretely related to the nine months ended June 30, 2025.</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tax rate will vary based on a variety of factors. These factors include our overall profitability, the geographical mix of income before taxes and related statutory tax rate in each jurisdiction, and tax items discretely related to the period, such as tax impacts of stock compensation. We may record other benefits or expenses in the future that are specific to a particular quarter such as expiration of statutes of limitation, the completion of tax audits, or legislation that is enacted in both U.S. and foreign jurisdictions. </w:t>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was signed into law in the U.S., which contains a broad range of tax reform provisions affecting businesses. The legislation has multiple effective dates, with certain provisions effective in 2025 and others implemented through 2027. We are currently assessing its impact on our consolidated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the beginning and ending amount of unrecognized tax benefits is (in thousands): </w:t>
      </w:r>
    </w:p>
    <w:tbl>
      <w:tblPr>
        <w:tblW w:w="5315" w:type="dxa"/>
        <w:jc w:val="left"/>
        <w:tblInd w:w="0" w:type="dxa"/>
        <w:tblLayout w:type="fixed"/>
        <w:tblCellMar>
          <w:top w:w="28" w:type="dxa"/>
          <w:left w:w="28" w:type="dxa"/>
          <w:bottom w:w="28" w:type="dxa"/>
          <w:right w:w="28" w:type="dxa"/>
        </w:tblCellMar>
      </w:tblPr>
      <w:tblGrid>
        <w:gridCol w:w="1569"/>
        <w:gridCol w:w="1379"/>
        <w:gridCol w:w="1386"/>
        <w:gridCol w:w="211"/>
        <w:gridCol w:w="616"/>
        <w:gridCol w:w="154"/>
      </w:tblGrid>
      <w:tr>
        <w:trPr/>
        <w:tc>
          <w:tcPr>
            <w:tcW w:w="156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tax benefits as of September 30,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related to:</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income tax 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Expiration of statute of limitations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tax benefits as of June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total amount of unrecognized tax benefits at June 30, 2025 that, if recognized, would affect our effective tax rate was $3.3 million, after considering the impact of interest and deferred benefit items. We expect that the total amount of unrecognized tax benefits will decrease by approximately $0.4 million over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 PRODUCT WARRANTY OBLIGATION</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activity associated with the product warranty accrual (in thousands) and is included on our condensed consolidated balance sheets within other current liabilities:</w:t>
      </w:r>
    </w:p>
    <w:tbl>
      <w:tblPr>
        <w:tblW w:w="5158" w:type="dxa"/>
        <w:jc w:val="left"/>
        <w:tblInd w:w="0" w:type="dxa"/>
        <w:tblLayout w:type="fixed"/>
        <w:tblCellMar>
          <w:top w:w="28" w:type="dxa"/>
          <w:left w:w="28" w:type="dxa"/>
          <w:bottom w:w="28" w:type="dxa"/>
          <w:right w:w="28" w:type="dxa"/>
        </w:tblCellMar>
      </w:tblPr>
      <w:tblGrid>
        <w:gridCol w:w="956"/>
        <w:gridCol w:w="840"/>
        <w:gridCol w:w="843"/>
        <w:gridCol w:w="254"/>
        <w:gridCol w:w="741"/>
        <w:gridCol w:w="131"/>
        <w:gridCol w:w="131"/>
        <w:gridCol w:w="131"/>
        <w:gridCol w:w="131"/>
        <w:gridCol w:w="254"/>
        <w:gridCol w:w="561"/>
        <w:gridCol w:w="185"/>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accrued</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settlements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accrued</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made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10. LEASES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All of our leases are operating leases and primarily consist of leases for office space. For any lease with an initial term in excess of 12 months, the related lease assets and lease liabilities are recognized on the condensed consolidated balance sheets as either operating or financing leases at the inception of an agreement where it is determined that a lease exists. We have lease agreements that contain both lease and non-lease components. We have elected to combine lease and non-lease components for all classes of assets. Leases with an expected term of 12 months or less are not recorded on the condensed consolidated balance sheets. Instead we recognize lease expense for these leases on a straight-line basis over the lease term.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represent the right to use an underlying asset for the lease term and operating lease liabilities represent the obligation to make lease payments. These assets and liabilities are recognized based on the present value of future payments over the lease term at the commencement date. We generally use a collateralized incremental borrowing rate based on information available at the commencement date, including the lease term, in determining the present value of future payments. When determining our right-of-use assets, we generally do not include options to extend or terminate the lease unless it is reasonably certain that the option will be exercised.</w:t>
      </w:r>
    </w:p>
    <w:p>
      <w:pPr>
        <w:pStyle w:val="TextBody"/>
        <w:bidi w:val="0"/>
        <w:spacing w:lineRule="auto" w:line="288" w:before="200" w:after="160"/>
        <w:jc w:val="left"/>
        <w:rPr>
          <w:rFonts w:ascii="Times New Roman;serif" w:hAnsi="Times New Roman;serif"/>
          <w:b w:val="false"/>
          <w:color w:val="000000"/>
          <w:sz w:val="20"/>
        </w:rPr>
      </w:pPr>
      <w:r>
        <w:rPr>
          <w:rFonts w:ascii="Times New Roman;serif" w:hAnsi="Times New Roman;serif"/>
          <w:b w:val="false"/>
          <w:color w:val="000000"/>
          <w:sz w:val="20"/>
        </w:rPr>
        <w:t>Our leases typically require payment of real estate taxes and common area maintenance and insurance. These components comprise the majority of our variable lease cost and are excluded from the present value of our lease obligations. Fixed payments may contain predetermined fixed rent escalations. We recognize the related rent expense on a straight-line basis from the commencement date to the end of the lease term.</w:t>
      </w:r>
    </w:p>
    <w:p>
      <w:pPr>
        <w:pStyle w:val="TextBody"/>
        <w:bidi w:val="0"/>
        <w:spacing w:lineRule="auto" w:line="288" w:before="20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supplemental balance sheet information related to our leases (in thousands):</w:t>
      </w:r>
    </w:p>
    <w:tbl>
      <w:tblPr>
        <w:tblW w:w="9499" w:type="dxa"/>
        <w:jc w:val="center"/>
        <w:tblInd w:w="0" w:type="dxa"/>
        <w:tblLayout w:type="fixed"/>
        <w:tblCellMar>
          <w:top w:w="28" w:type="dxa"/>
          <w:left w:w="28" w:type="dxa"/>
          <w:bottom w:w="28" w:type="dxa"/>
          <w:right w:w="28" w:type="dxa"/>
        </w:tblCellMar>
      </w:tblPr>
      <w:tblGrid>
        <w:gridCol w:w="661"/>
        <w:gridCol w:w="581"/>
        <w:gridCol w:w="587"/>
        <w:gridCol w:w="109"/>
        <w:gridCol w:w="109"/>
        <w:gridCol w:w="109"/>
        <w:gridCol w:w="1224"/>
        <w:gridCol w:w="1224"/>
        <w:gridCol w:w="1227"/>
        <w:gridCol w:w="109"/>
        <w:gridCol w:w="109"/>
        <w:gridCol w:w="109"/>
        <w:gridCol w:w="252"/>
        <w:gridCol w:w="862"/>
        <w:gridCol w:w="130"/>
        <w:gridCol w:w="109"/>
        <w:gridCol w:w="109"/>
        <w:gridCol w:w="109"/>
        <w:gridCol w:w="344"/>
        <w:gridCol w:w="1175"/>
        <w:gridCol w:w="251"/>
      </w:tblGrid>
      <w:tr>
        <w:trPr/>
        <w:tc>
          <w:tcPr>
            <w:tcW w:w="6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14,201 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160"/>
        <w:jc w:val="left"/>
        <w:rPr>
          <w:rFonts w:ascii="Times New Roman;serif" w:hAnsi="Times New Roman;serif"/>
          <w:b w:val="false"/>
          <w:color w:val="000000"/>
          <w:sz w:val="20"/>
        </w:rPr>
      </w:pPr>
      <w:r>
        <w:rPr>
          <w:rFonts w:ascii="Times New Roman;serif" w:hAnsi="Times New Roman;serif"/>
          <w:b w:val="false"/>
          <w:color w:val="000000"/>
          <w:sz w:val="20"/>
        </w:rPr>
        <w:t>10. LEASES (CONTINUED)</w:t>
      </w:r>
    </w:p>
    <w:p>
      <w:pPr>
        <w:pStyle w:val="TextBody"/>
        <w:bidi w:val="0"/>
        <w:spacing w:lineRule="auto" w:line="288" w:before="200" w:after="160"/>
        <w:jc w:val="left"/>
        <w:rPr>
          <w:rFonts w:ascii="Times New Roman;serif" w:hAnsi="Times New Roman;serif"/>
          <w:b w:val="false"/>
          <w:color w:val="000000"/>
          <w:sz w:val="20"/>
        </w:rPr>
      </w:pPr>
      <w:r>
        <w:rPr>
          <w:rFonts w:ascii="Times New Roman;serif" w:hAnsi="Times New Roman;serif"/>
          <w:b w:val="false"/>
          <w:color w:val="000000"/>
          <w:sz w:val="20"/>
        </w:rPr>
        <w:t>The following were the components of our lease cost which is recorded in both cost of goods sold and selling, general and administrative expense (in thousands):</w:t>
      </w:r>
    </w:p>
    <w:tbl>
      <w:tblPr>
        <w:tblW w:w="7035" w:type="dxa"/>
        <w:jc w:val="center"/>
        <w:tblInd w:w="0" w:type="dxa"/>
        <w:tblLayout w:type="fixed"/>
        <w:tblCellMar>
          <w:top w:w="28" w:type="dxa"/>
          <w:left w:w="28" w:type="dxa"/>
          <w:bottom w:w="28" w:type="dxa"/>
          <w:right w:w="28" w:type="dxa"/>
        </w:tblCellMar>
      </w:tblPr>
      <w:tblGrid>
        <w:gridCol w:w="651"/>
        <w:gridCol w:w="572"/>
        <w:gridCol w:w="576"/>
        <w:gridCol w:w="237"/>
        <w:gridCol w:w="693"/>
        <w:gridCol w:w="122"/>
        <w:gridCol w:w="122"/>
        <w:gridCol w:w="122"/>
        <w:gridCol w:w="122"/>
        <w:gridCol w:w="237"/>
        <w:gridCol w:w="693"/>
        <w:gridCol w:w="122"/>
        <w:gridCol w:w="109"/>
        <w:gridCol w:w="109"/>
        <w:gridCol w:w="109"/>
        <w:gridCol w:w="229"/>
        <w:gridCol w:w="671"/>
        <w:gridCol w:w="118"/>
        <w:gridCol w:w="118"/>
        <w:gridCol w:w="118"/>
        <w:gridCol w:w="118"/>
        <w:gridCol w:w="229"/>
        <w:gridCol w:w="671"/>
        <w:gridCol w:w="167"/>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2025, the weighted average remaining lease term of our operating leases was 5.5 years and the weighted average discount rate for these leases was 4.7%. </w:t>
      </w:r>
    </w:p>
    <w:p>
      <w:pPr>
        <w:pStyle w:val="TextBody"/>
        <w:bidi w:val="0"/>
        <w:spacing w:lineRule="auto" w:line="288" w:before="200" w:after="160"/>
        <w:jc w:val="left"/>
        <w:rPr>
          <w:rFonts w:ascii="Times New Roman;serif" w:hAnsi="Times New Roman;serif"/>
          <w:b w:val="false"/>
          <w:color w:val="000000"/>
          <w:sz w:val="20"/>
        </w:rPr>
      </w:pPr>
      <w:r>
        <w:rPr>
          <w:rFonts w:ascii="Times New Roman;serif" w:hAnsi="Times New Roman;serif"/>
          <w:b w:val="false"/>
          <w:color w:val="000000"/>
          <w:sz w:val="20"/>
        </w:rPr>
        <w:t>The table below reconciles the undiscounted cash flows for each of the first five years as well as all the remaining years to the operating lease liabilities recorded on the condensed consolidated balance sheet as of June 30, 2025 (in thousands):</w:t>
      </w:r>
    </w:p>
    <w:tbl>
      <w:tblPr>
        <w:tblW w:w="4922" w:type="dxa"/>
        <w:jc w:val="center"/>
        <w:tblInd w:w="0" w:type="dxa"/>
        <w:tblLayout w:type="fixed"/>
        <w:tblCellMar>
          <w:top w:w="28" w:type="dxa"/>
          <w:left w:w="28" w:type="dxa"/>
          <w:bottom w:w="28" w:type="dxa"/>
          <w:right w:w="28" w:type="dxa"/>
        </w:tblCellMar>
      </w:tblPr>
      <w:tblGrid>
        <w:gridCol w:w="1267"/>
        <w:gridCol w:w="1114"/>
        <w:gridCol w:w="1128"/>
        <w:gridCol w:w="109"/>
        <w:gridCol w:w="109"/>
        <w:gridCol w:w="109"/>
        <w:gridCol w:w="211"/>
        <w:gridCol w:w="72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(three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undiscounted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reported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11. COMMITMENTS AND CONTINGENCIES</w:t>
      </w:r>
    </w:p>
    <w:p>
      <w:pPr>
        <w:pStyle w:val="TextBody"/>
        <w:bidi w:val="0"/>
        <w:spacing w:lineRule="auto" w:line="288" w:before="200" w:after="283"/>
        <w:jc w:val="left"/>
        <w:rPr/>
      </w:pPr>
      <w:r>
        <w:rPr>
          <w:rFonts w:ascii="Times New Roman;serif" w:hAnsi="Times New Roman;serif"/>
          <w:b w:val="false"/>
          <w:color w:val="000000"/>
          <w:sz w:val="20"/>
        </w:rPr>
        <w:t xml:space="preserve">We lease certain of our buildings and equipment under non-cancelable lease agreements. Please refer to </w:t>
      </w:r>
      <w:hyperlink w:anchor="iad0ffbf5b8b44cc1b03d406ac6dd9cb1_61">
        <w:r>
          <w:rPr>
            <w:rStyle w:val="InternetLink"/>
            <w:rFonts w:ascii="Times New Roman;serif" w:hAnsi="Times New Roman;serif"/>
            <w:b w:val="false"/>
            <w:color w:val="0000FF"/>
            <w:sz w:val="20"/>
            <w:u w:val="single"/>
          </w:rPr>
          <w:t>Note 10</w:t>
        </w:r>
      </w:hyperlink>
      <w:r>
        <w:rPr>
          <w:color w:val="000000"/>
        </w:rPr>
        <w:t xml:space="preserve"> </w:t>
      </w:r>
      <w:r>
        <w:rPr>
          <w:rFonts w:ascii="Times New Roman;serif" w:hAnsi="Times New Roman;serif"/>
          <w:b w:val="false"/>
          <w:color w:val="000000"/>
          <w:sz w:val="20"/>
        </w:rPr>
        <w:t>to our condensed consolidated financial statements for additional information.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are presently, and expect in the future to be, subject to various claims and litigation with third parties such as non-practicing intellectual property entities as well as customers, vendors and/or employees. There can be no assurance that any claims by third parties, if proven to have merit, will not materially adversely affect our business, liquidity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12. STOCK-BASED COMPENSATION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Stock-based awards granted in the first nine months of fiscal 2025 and 2024 were granted under the Digi International Inc. 2021 Omnibus Incentive Plan (as amended and restated, the "2021 Plan"). Shares subject to awards under the 2021 Plan or any prior plans that are forfeited, canceled, returned to us for failure to satisfy vesting requirements, settled in cash or otherwise terminated without payment also will be available for grant under the 2021 Plan. The authority to grant options under the 2021 Plan and set other terms and conditions rests with the Compensation Committee of the Board of Directors.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there were approximately 3,371,138 shares available for future grants under the 2021 Plan.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Cash received from the exercise of stock options was $3.1 million and $1.3 million for the nine months ended June 30, 2025 and 2024, respectively.</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12. STOCK-BASED COMPENSATION (CONTINUED)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equity plans and corresponding forms of award agreements generally have provisions allowing employees to elect to satisfy tax withholding obligations through the delivery of shares. When employees make this election, we retain a portion of shares issuable under the award. Tax withholding obligations are otherwise fulfilled by the employee paying cash to us for the withholding. During the nine months ended June 30, 2025 and 2024, our employees forfeited 109,516 shares and 112,827 shares, respectively, in order to satisfy withholding tax obligations of $3.5 million and $2.8 million, respectively. We sponsor an Employee Stock Purchase Plan as amended and restated as of December 10, 2019, October 29, 2013, December 4, 2009 and November 27, 2006 (the "ESPP"), covering all domestic employees with at least 90 days of continuous service and who are customarily employed at least 20 hours per week. The ESPP allows eligible participants the right to purchase common stock on a quarterly basis at the lower of 85% of the market price at the beginning or end of each three-month offering period. The most recent amendments to the ESPP, ratified by our stockholders on January 29, 2020, increased the total number of shares that may be purchased under the ESPP to 3,425,000. ESPP contributions by employees were $1.7 million for the nine months ended June 30, 2025 and 2024. Pursuant to the ESPP, 70,976 and 74,760 common shares were issued to employees during the nine months ended June 30, 2025 and 2024, respectively. Shares are issued under the ESPP from treasury stock. As of June 30, 2025, 297,521 common shares were available for future issuances under the ESPP.</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stock-based compensation expense that is included in the consolidated results of operations (in thousands):</w:t>
      </w:r>
    </w:p>
    <w:tbl>
      <w:tblPr>
        <w:tblW w:w="9196" w:type="dxa"/>
        <w:jc w:val="left"/>
        <w:tblInd w:w="0" w:type="dxa"/>
        <w:tblLayout w:type="fixed"/>
        <w:tblCellMar>
          <w:top w:w="28" w:type="dxa"/>
          <w:left w:w="28" w:type="dxa"/>
          <w:bottom w:w="28" w:type="dxa"/>
          <w:right w:w="28" w:type="dxa"/>
        </w:tblCellMar>
      </w:tblPr>
      <w:tblGrid>
        <w:gridCol w:w="1435"/>
        <w:gridCol w:w="1255"/>
        <w:gridCol w:w="1270"/>
        <w:gridCol w:w="237"/>
        <w:gridCol w:w="693"/>
        <w:gridCol w:w="122"/>
        <w:gridCol w:w="122"/>
        <w:gridCol w:w="122"/>
        <w:gridCol w:w="122"/>
        <w:gridCol w:w="237"/>
        <w:gridCol w:w="693"/>
        <w:gridCol w:w="122"/>
        <w:gridCol w:w="109"/>
        <w:gridCol w:w="109"/>
        <w:gridCol w:w="109"/>
        <w:gridCol w:w="229"/>
        <w:gridCol w:w="671"/>
        <w:gridCol w:w="118"/>
        <w:gridCol w:w="118"/>
        <w:gridCol w:w="118"/>
        <w:gridCol w:w="118"/>
        <w:gridCol w:w="229"/>
        <w:gridCol w:w="671"/>
        <w:gridCol w:w="167"/>
      </w:tblGrid>
      <w:tr>
        <w:trPr/>
        <w:tc>
          <w:tcPr>
            <w:tcW w:w="143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before income taxes</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after income taxes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stock option activity (in thousands, except per common share amounts):</w:t>
      </w:r>
    </w:p>
    <w:tbl>
      <w:tblPr>
        <w:tblW w:w="10205" w:type="dxa"/>
        <w:jc w:val="left"/>
        <w:tblInd w:w="0" w:type="dxa"/>
        <w:tblLayout w:type="fixed"/>
        <w:tblCellMar>
          <w:top w:w="28" w:type="dxa"/>
          <w:left w:w="28" w:type="dxa"/>
          <w:bottom w:w="28" w:type="dxa"/>
          <w:right w:w="28" w:type="dxa"/>
        </w:tblCellMar>
      </w:tblPr>
      <w:tblGrid>
        <w:gridCol w:w="673"/>
        <w:gridCol w:w="548"/>
        <w:gridCol w:w="550"/>
        <w:gridCol w:w="109"/>
        <w:gridCol w:w="109"/>
        <w:gridCol w:w="109"/>
        <w:gridCol w:w="469"/>
        <w:gridCol w:w="469"/>
        <w:gridCol w:w="470"/>
        <w:gridCol w:w="109"/>
        <w:gridCol w:w="109"/>
        <w:gridCol w:w="109"/>
        <w:gridCol w:w="574"/>
        <w:gridCol w:w="574"/>
        <w:gridCol w:w="576"/>
        <w:gridCol w:w="109"/>
        <w:gridCol w:w="109"/>
        <w:gridCol w:w="109"/>
        <w:gridCol w:w="761"/>
        <w:gridCol w:w="761"/>
        <w:gridCol w:w="763"/>
        <w:gridCol w:w="109"/>
        <w:gridCol w:w="109"/>
        <w:gridCol w:w="109"/>
        <w:gridCol w:w="330"/>
        <w:gridCol w:w="1129"/>
        <w:gridCol w:w="250"/>
      </w:tblGrid>
      <w:tr>
        <w:trPr/>
        <w:tc>
          <w:tcPr>
            <w:tcW w:w="67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Aggregate Intrinsic Value (1)</w:t>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on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on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on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4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10,540 </w:t>
            </w:r>
          </w:p>
        </w:tc>
        <w:tc>
          <w:tcPr>
            <w:tcW w:w="2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 The aggregate intrinsic value represents the total pre-tax intrinsic value, based on our closing stock price of $34.86 as of June 30, 2025, which would have been received by the option holders had all option holders exercised their options as of that date. </w:t>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12. STOCK-BASED COMPENSATION (CONTINUED)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intrinsic value of an option is the amount by which the fair value of the underlying stock exceeds its exercise price. The total intrinsic value of all options exercised during the nine months ended June 30, 2025 and 2024 was $9.6 million and $2.6 million,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weighted average fair value, which was determined based upon the fair value of each option on the grant date utilizing the Black-Scholes option-pricing model and the related assumptions:</w:t>
      </w:r>
    </w:p>
    <w:tbl>
      <w:tblPr>
        <w:tblW w:w="7571" w:type="dxa"/>
        <w:jc w:val="center"/>
        <w:tblInd w:w="0" w:type="dxa"/>
        <w:tblLayout w:type="fixed"/>
        <w:tblCellMar>
          <w:top w:w="28" w:type="dxa"/>
          <w:left w:w="28" w:type="dxa"/>
          <w:bottom w:w="28" w:type="dxa"/>
          <w:right w:w="28" w:type="dxa"/>
        </w:tblCellMar>
      </w:tblPr>
      <w:tblGrid>
        <w:gridCol w:w="1500"/>
        <w:gridCol w:w="1315"/>
        <w:gridCol w:w="1324"/>
        <w:gridCol w:w="435"/>
        <w:gridCol w:w="435"/>
        <w:gridCol w:w="435"/>
        <w:gridCol w:w="259"/>
        <w:gridCol w:w="259"/>
        <w:gridCol w:w="259"/>
        <w:gridCol w:w="395"/>
        <w:gridCol w:w="395"/>
        <w:gridCol w:w="560"/>
      </w:tblGrid>
      <w:tr>
        <w:trPr/>
        <w:tc>
          <w:tcPr>
            <w:tcW w:w="150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per option grant date fair value</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$16.23</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$12.44</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Assumptions used for option grants:</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4.31% - 4.38%</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4.48% - 4.68%</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 years</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 years</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 - 47%</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volatility</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each option award granted during the periods presented was estimated using the Black-Scholes option valuation model that uses the assumptions noted in the above table. Expected volatilities are based on the historical volatility of our stock. We use historical data to estimate option exercise and employee termination information within the valuation model. The expected term of options granted is derived from the vesting period and historical information and represents the period of time that options granted are expected to be outstanding. The risk-free rate used is the zero-coupon U.S. Treasury bond rate in effect at the time of the grant whose maturity equals the expected term of the option.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the total unrecognized compensation cost related to non-vested stock options was $2.2 million and the related weighted average period over which it is expected to be recognized is approximately 1.7 years.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Non-vested Stock Units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non-vested restricted stock units and performance stock units as of June 30, 2025 and changes during the nine months then ended (in thousands, except per common share amounts):</w:t>
      </w:r>
    </w:p>
    <w:tbl>
      <w:tblPr>
        <w:tblW w:w="10205" w:type="dxa"/>
        <w:jc w:val="center"/>
        <w:tblInd w:w="0" w:type="dxa"/>
        <w:tblLayout w:type="fixed"/>
        <w:tblCellMar>
          <w:top w:w="28" w:type="dxa"/>
          <w:left w:w="28" w:type="dxa"/>
          <w:bottom w:w="28" w:type="dxa"/>
          <w:right w:w="28" w:type="dxa"/>
        </w:tblCellMar>
      </w:tblPr>
      <w:tblGrid>
        <w:gridCol w:w="742"/>
        <w:gridCol w:w="651"/>
        <w:gridCol w:w="655"/>
        <w:gridCol w:w="430"/>
        <w:gridCol w:w="430"/>
        <w:gridCol w:w="431"/>
        <w:gridCol w:w="109"/>
        <w:gridCol w:w="109"/>
        <w:gridCol w:w="109"/>
        <w:gridCol w:w="520"/>
        <w:gridCol w:w="1518"/>
        <w:gridCol w:w="268"/>
        <w:gridCol w:w="109"/>
        <w:gridCol w:w="109"/>
        <w:gridCol w:w="109"/>
        <w:gridCol w:w="406"/>
        <w:gridCol w:w="406"/>
        <w:gridCol w:w="408"/>
        <w:gridCol w:w="109"/>
        <w:gridCol w:w="109"/>
        <w:gridCol w:w="109"/>
        <w:gridCol w:w="505"/>
        <w:gridCol w:w="1477"/>
        <w:gridCol w:w="377"/>
      </w:tblGrid>
      <w:tr>
        <w:trPr/>
        <w:tc>
          <w:tcPr>
            <w:tcW w:w="74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2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PSUs</w:t>
            </w:r>
          </w:p>
        </w:tc>
      </w:tr>
      <w:tr>
        <w:trPr/>
        <w:tc>
          <w:tcPr>
            <w:tcW w:w="2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r>
      <w:tr>
        <w:trPr/>
        <w:tc>
          <w:tcPr>
            <w:tcW w:w="2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on September 30, 2024</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on June 30, 2025</w:t>
            </w:r>
          </w:p>
        </w:tc>
        <w:tc>
          <w:tcPr>
            <w:tcW w:w="8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the total unrecognized compensation cost related to non-vested restricted stock units and performance stock units was $22.7 million and $0.7 million, respectively. The related weighted average period over which these costs are expected to be recognized was approximately 2.0 years and 0.3 years,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60" w:after="283"/>
        <w:jc w:val="left"/>
        <w:rPr/>
      </w:pPr>
      <w:r>
        <w:rPr>
          <w:rFonts w:ascii="Times New Roman;serif" w:hAnsi="Times New Roman;serif"/>
          <w:b w:val="false"/>
          <w:color w:val="000000"/>
          <w:sz w:val="20"/>
        </w:rPr>
        <w:t xml:space="preserve">Our management's discussion and analysis should be read in conjunction with our Annual Report on </w:t>
      </w:r>
      <w:hyperlink r:id="rId4">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fiscal year ended September 30, 2024, as well as our subsequent reports on Form 10-Q and Form 8-K and any amendments to such reports.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SAFE HARBOR STATEMENT UNDER THE PRIVATE SECURITIES LITIGATION REFORM ACT OF 1995</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Forward-Looking Statements</w:t>
      </w:r>
    </w:p>
    <w:p>
      <w:pPr>
        <w:pStyle w:val="TextBody"/>
        <w:bidi w:val="0"/>
        <w:spacing w:lineRule="auto" w:line="276" w:before="0" w:after="0"/>
        <w:jc w:val="left"/>
        <w:rPr/>
      </w:pPr>
      <w:r>
        <w:rPr>
          <w:rFonts w:ascii="Times New Roman;serif" w:hAnsi="Times New Roman;serif"/>
          <w:b w:val="false"/>
          <w:color w:val="000000"/>
          <w:sz w:val="20"/>
        </w:rPr>
        <w:t>This report contains forward-looking statements that are based on management’s current expectations and assumptions. These statements often can be identified by the use of forward-looking terminology such as "assume," "believe," "continue," "estimate," "expect," "intend," "may," "plan," "potential," "project," "should," or "will" or the negative thereof or other variations thereon or similar terminology. Among other items, these statements relate to expectations of the business environment in which Digi operates, projections of future performance, including (but not limited to) expectations regarding the Company's profitability and net cash position, inventory levels, supply chain normalization, perceived marketplace opportunities, debt repayments, attributions of potential acquisitions and statements regarding our mission and vision. Such statements are not guarantees of future performance and involve certain risks, uncertainties and assumptions. Among others, these include risks related to ongoing and varying inflationary and deflationary pressures around the world and the monetary and trade policies of governments globally as well as present and ongoing concerns about a potential recession, the potential for longer than expected sales cycles, the ability of companies like us to operate a global business in such conditions as well as negative effects on product demand and the financial solvency of customers and suppliers in such conditions, risks related to ongoing supply chain challenges that continue to impact businesses globally,</w:t>
      </w:r>
      <w:r>
        <w:rPr>
          <w:color w:val="000000"/>
        </w:rPr>
        <w:t xml:space="preserve"> </w:t>
      </w:r>
      <w:r>
        <w:rPr>
          <w:rFonts w:ascii="Times New Roman;serif" w:hAnsi="Times New Roman;serif"/>
          <w:b w:val="false"/>
          <w:color w:val="000000"/>
          <w:sz w:val="20"/>
        </w:rPr>
        <w:t>regulatory risks that include, but are not limited to, the potential expansion of tariffs and potential changes to regulations impacting the functionality or compliance of our products, risks related to cybersecurity, data breaches and data privacy, risks arising from the present military conflicts in Ukraine and the Middle East, the highly competitive market in which we operate,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integrate and realize the expected benefits of acquisitions, our ability to defend or settle satisfactorily any litigation,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and changes in our level of revenue or profitability which can fluctuate for many reasons beyond our control.</w:t>
      </w:r>
    </w:p>
    <w:p>
      <w:pPr>
        <w:pStyle w:val="TextBody"/>
        <w:bidi w:val="0"/>
        <w:spacing w:lineRule="auto" w:line="288" w:before="160" w:after="283"/>
        <w:jc w:val="left"/>
        <w:rPr/>
      </w:pPr>
      <w:r>
        <w:rPr>
          <w:rFonts w:ascii="Times New Roman;serif" w:hAnsi="Times New Roman;serif"/>
          <w:b w:val="false"/>
          <w:color w:val="000000"/>
          <w:sz w:val="20"/>
        </w:rPr>
        <w:t xml:space="preserve">These and other risks, uncertainties and assumptions identified from time to time in our filings with the United States Securities and Exchange Commission, including without limitation, those set forth in Item 1A, Risk Factors, of our Annual Report on </w:t>
      </w:r>
      <w:hyperlink r:id="rId5">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year ended September 30, 2024, subsequent filings, as well as this Quarterly Report on Form 10-Q and other filings,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Except to the extent required by law, we do not undertake, and expressly disclaim, any intent or obligation to update any forward-looking statements, whether as a result of new information, future events or otherwise.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CRITICAL ACCOUNTING ESTIMATES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consolidated financial statements requires us to make estimates and judgments that affect the reported amounts of assets, liabilities, revenue and expenses, the disclosure of contingent assets and liabilities and the values of purchased assets and assumed liabilities in acquisitions. We base our estimates on historical experience and various other assumptions that we believed to be reasonable under the circumstances, the results of which form the basis for making judgments about the carrying values of assets and liabilities that are not readily apparent from other sources. Actual results may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60" w:after="283"/>
        <w:jc w:val="left"/>
        <w:rPr/>
      </w:pPr>
      <w:r>
        <w:rPr>
          <w:rFonts w:ascii="Times New Roman;serif" w:hAnsi="Times New Roman;serif"/>
          <w:b w:val="false"/>
          <w:color w:val="000000"/>
          <w:sz w:val="20"/>
        </w:rPr>
        <w:t xml:space="preserve">A description of our critical accounting estimates was provided in the Management's Discussion and Analysis of Financial Condition and Results of Operations section of our </w:t>
      </w:r>
      <w:hyperlink r:id="rId6">
        <w:r>
          <w:rPr>
            <w:rStyle w:val="InternetLink"/>
            <w:rFonts w:ascii="Times New Roman;serif" w:hAnsi="Times New Roman;serif"/>
            <w:b w:val="false"/>
            <w:color w:val="0000FF"/>
            <w:sz w:val="20"/>
            <w:u w:val="single"/>
          </w:rPr>
          <w:t>Annual Report</w:t>
        </w:r>
      </w:hyperlink>
      <w:r>
        <w:rPr>
          <w:color w:val="000000"/>
        </w:rPr>
        <w:t xml:space="preserve"> </w:t>
      </w:r>
      <w:r>
        <w:rPr>
          <w:rFonts w:ascii="Times New Roman;serif" w:hAnsi="Times New Roman;serif"/>
          <w:b w:val="false"/>
          <w:color w:val="000000"/>
          <w:sz w:val="20"/>
        </w:rPr>
        <w:t xml:space="preserve">on </w:t>
      </w:r>
      <w:hyperlink r:id="rId7">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fiscal year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a leading global provider of business and mission-critical IoT connectivity products, services and solutions. Our business is comprised of two reporting segments: IoT Products &amp; Services and IoT Solutions.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fiscal 2025, our key operating objectives include:</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continuing to transition to complete solutions with software and service offerings included with our products, as this drives Annualized Recurring Revenue ("ARR"), which provides more predictable and higher margin revenue;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delivering a higher level of customer service across our businesses.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utilize many financial, operational, and other metrics to evaluate our financial condition and financial performance. Below we highlight the metrics for the third quarter of fiscal 2025 that we feel are most important in these evaluations, with comparisons to the third quarter of fiscal 2024:</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Consolidated revenue was $108 million, an increase of 2%.</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Consolidated gross profit was $68 million, an increase of 10%.</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Gross profit margin was 63.5%, an increase of 430 basis points.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Net income was $10 million, an increase of 6%.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Net income per diluted share was $0.27, an increase of 4%.</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Adjusted net income and adjusted net income per share were $20 million, or $0.53 per diluted share, respectively, compared to $18 million, or $0.50 per diluted share, respectively.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Adjusted EBITDA was $28 million, or 25.6% of revenue, compared to $25 million or 23.5% of revenue, an increase of 11%.</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Annualized Recurring Revenue (ARR) was $126 million at quarter end, an increase of 12%.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recent periods, we have experienced longer than expected sales cycles with respect to many contracts and projects of potential significance. We believe this is related to macroeconomic conditions and are uncertain as to when and to what degree sales cycles will return to more normal conditions, but expect this may adversely impact our results for at least the remainder of fiscal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like many companies we are monitoring the impact recently announced tariffs by governments around the world may have on our business. Given the fluidity of these announcements and their ability to be changed, the exact impact of tariffs on our future results is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selected information derived from our interim condensed consolidated statements of operations:</w:t>
      </w:r>
    </w:p>
    <w:tbl>
      <w:tblPr>
        <w:tblW w:w="13080"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736"/>
        <w:gridCol w:w="109"/>
        <w:gridCol w:w="109"/>
        <w:gridCol w:w="109"/>
        <w:gridCol w:w="109"/>
        <w:gridCol w:w="278"/>
        <w:gridCol w:w="278"/>
        <w:gridCol w:w="241"/>
        <w:gridCol w:w="109"/>
        <w:gridCol w:w="109"/>
        <w:gridCol w:w="109"/>
        <w:gridCol w:w="196"/>
        <w:gridCol w:w="736"/>
        <w:gridCol w:w="109"/>
        <w:gridCol w:w="109"/>
        <w:gridCol w:w="109"/>
        <w:gridCol w:w="109"/>
        <w:gridCol w:w="278"/>
        <w:gridCol w:w="278"/>
        <w:gridCol w:w="241"/>
        <w:gridCol w:w="109"/>
        <w:gridCol w:w="109"/>
        <w:gridCol w:w="109"/>
        <w:gridCol w:w="239"/>
        <w:gridCol w:w="242"/>
        <w:gridCol w:w="317"/>
        <w:gridCol w:w="109"/>
        <w:gridCol w:w="109"/>
        <w:gridCol w:w="109"/>
        <w:gridCol w:w="196"/>
        <w:gridCol w:w="736"/>
        <w:gridCol w:w="109"/>
        <w:gridCol w:w="109"/>
        <w:gridCol w:w="109"/>
        <w:gridCol w:w="109"/>
        <w:gridCol w:w="278"/>
        <w:gridCol w:w="278"/>
        <w:gridCol w:w="241"/>
        <w:gridCol w:w="109"/>
        <w:gridCol w:w="109"/>
        <w:gridCol w:w="109"/>
        <w:gridCol w:w="196"/>
        <w:gridCol w:w="736"/>
        <w:gridCol w:w="109"/>
        <w:gridCol w:w="109"/>
        <w:gridCol w:w="109"/>
        <w:gridCol w:w="109"/>
        <w:gridCol w:w="278"/>
        <w:gridCol w:w="278"/>
        <w:gridCol w:w="241"/>
        <w:gridCol w:w="109"/>
        <w:gridCol w:w="109"/>
        <w:gridCol w:w="109"/>
        <w:gridCol w:w="239"/>
        <w:gridCol w:w="242"/>
        <w:gridCol w:w="36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incr.</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(decr.)</w:t>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00" w:after="283"/>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NM means not meaningful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BY SEGMENT</w:t>
      </w:r>
    </w:p>
    <w:tbl>
      <w:tblPr>
        <w:tblW w:w="12975" w:type="dxa"/>
        <w:jc w:val="center"/>
        <w:tblInd w:w="0" w:type="dxa"/>
        <w:tblLayout w:type="fixed"/>
        <w:tblCellMar>
          <w:top w:w="28" w:type="dxa"/>
          <w:left w:w="28" w:type="dxa"/>
          <w:bottom w:w="28" w:type="dxa"/>
          <w:right w:w="28" w:type="dxa"/>
        </w:tblCellMar>
      </w:tblPr>
      <w:tblGrid>
        <w:gridCol w:w="354"/>
        <w:gridCol w:w="258"/>
        <w:gridCol w:w="259"/>
        <w:gridCol w:w="109"/>
        <w:gridCol w:w="109"/>
        <w:gridCol w:w="109"/>
        <w:gridCol w:w="196"/>
        <w:gridCol w:w="736"/>
        <w:gridCol w:w="109"/>
        <w:gridCol w:w="109"/>
        <w:gridCol w:w="109"/>
        <w:gridCol w:w="109"/>
        <w:gridCol w:w="278"/>
        <w:gridCol w:w="278"/>
        <w:gridCol w:w="241"/>
        <w:gridCol w:w="109"/>
        <w:gridCol w:w="109"/>
        <w:gridCol w:w="109"/>
        <w:gridCol w:w="196"/>
        <w:gridCol w:w="736"/>
        <w:gridCol w:w="109"/>
        <w:gridCol w:w="109"/>
        <w:gridCol w:w="109"/>
        <w:gridCol w:w="109"/>
        <w:gridCol w:w="278"/>
        <w:gridCol w:w="278"/>
        <w:gridCol w:w="241"/>
        <w:gridCol w:w="109"/>
        <w:gridCol w:w="109"/>
        <w:gridCol w:w="109"/>
        <w:gridCol w:w="203"/>
        <w:gridCol w:w="203"/>
        <w:gridCol w:w="317"/>
        <w:gridCol w:w="109"/>
        <w:gridCol w:w="109"/>
        <w:gridCol w:w="109"/>
        <w:gridCol w:w="196"/>
        <w:gridCol w:w="736"/>
        <w:gridCol w:w="109"/>
        <w:gridCol w:w="109"/>
        <w:gridCol w:w="109"/>
        <w:gridCol w:w="109"/>
        <w:gridCol w:w="278"/>
        <w:gridCol w:w="278"/>
        <w:gridCol w:w="241"/>
        <w:gridCol w:w="109"/>
        <w:gridCol w:w="109"/>
        <w:gridCol w:w="109"/>
        <w:gridCol w:w="196"/>
        <w:gridCol w:w="736"/>
        <w:gridCol w:w="109"/>
        <w:gridCol w:w="109"/>
        <w:gridCol w:w="109"/>
        <w:gridCol w:w="109"/>
        <w:gridCol w:w="278"/>
        <w:gridCol w:w="278"/>
        <w:gridCol w:w="241"/>
        <w:gridCol w:w="109"/>
        <w:gridCol w:w="109"/>
        <w:gridCol w:w="109"/>
        <w:gridCol w:w="195"/>
        <w:gridCol w:w="196"/>
        <w:gridCol w:w="368"/>
      </w:tblGrid>
      <w:tr>
        <w:trPr/>
        <w:tc>
          <w:tcPr>
            <w:tcW w:w="3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incr.</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(decr.)</w:t>
            </w:r>
          </w:p>
        </w:tc>
      </w:tr>
      <w:tr>
        <w:trPr/>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IoT Products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IoT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IoT Products &amp; Services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IoT Products &amp; Services revenue was flat for the three months ended June 30, 2025, as compared to the same period in the prior fiscal year. This consisted of a $1.3 million of recurring revenue growth, offset by a $1.3 million decrease in one-time sales, with no material impact from pricing. The decrease was driven by lower demand for some products, as some customers are bleeding down inventory stockpiled from when supply chains were stressed, partially offset by increased demand for some products from new project-based customer initiatives.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IoT Products &amp; Services revenue decreased $9.8 million for the nine months ended June 30, 2025, as compared to the same period in the prior fiscal year. The decrease consisted of a $12.8 million decline in one-time sales. This was driven by lower demand for some products, as some customers are bleeding down inventory stockpiled from when supply chains were stressed, partially offset by increased demand for some products from new project-based customer initiatives. This decrease was partially offset by $3.0 million of recurring revenue growth. Overall, there was no material impact from pricing. </w:t>
      </w:r>
    </w:p>
    <w:p>
      <w:pPr>
        <w:pStyle w:val="TextBody"/>
        <w:bidi w:val="0"/>
        <w:spacing w:lineRule="auto" w:line="26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IoT Solutions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IoT Solutions revenue increased $2.3 million for the three months ended June 30, 2025, as compared to the same period in the prior fiscal year. The increase consisted of a $1.7 million increase in recurring revenue, driven by growth in both SmartSense and Ventus and a $0.6 million increase in one-time sales.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IoT Solutions revenue increased $6.7 million for the nine months ended June 30, 2025, as compared to the same period in the prior fiscal year. The increase consisted of a $6.2 million increase in recurring revenue, driven by growth in both SmartSense and Ventus and a $0.5 million increase in one-time sales.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ARR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ARR was $126 million as of June 30, 2025, compared to $113 million as of June 30, 2024. IoT Products &amp; Services ARR was $30 million as of June 30, 2025, compared to $23 million as of June 30, 2024. This increase was due to growth in the subscription base across remote management platforms and extended warranty offerings. IoT Solutions ARR was $96 million as of June 30, 2025, compared to $90 million as of June 30, 2024, driven by growth in both SmartSense and Ventus.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AND GROSS PROFIT BY SEGMENT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Below are our segments' cost of goods sold and gross profit as a percentage of their respective total revenue:</w:t>
      </w:r>
    </w:p>
    <w:tbl>
      <w:tblPr>
        <w:tblW w:w="10205" w:type="dxa"/>
        <w:jc w:val="center"/>
        <w:tblInd w:w="0" w:type="dxa"/>
        <w:tblLayout w:type="fixed"/>
        <w:tblCellMar>
          <w:top w:w="28" w:type="dxa"/>
          <w:left w:w="28" w:type="dxa"/>
          <w:bottom w:w="28" w:type="dxa"/>
          <w:right w:w="28" w:type="dxa"/>
        </w:tblCellMar>
      </w:tblPr>
      <w:tblGrid>
        <w:gridCol w:w="1436"/>
        <w:gridCol w:w="1257"/>
        <w:gridCol w:w="1262"/>
        <w:gridCol w:w="109"/>
        <w:gridCol w:w="109"/>
        <w:gridCol w:w="109"/>
        <w:gridCol w:w="211"/>
        <w:gridCol w:w="721"/>
        <w:gridCol w:w="109"/>
        <w:gridCol w:w="109"/>
        <w:gridCol w:w="109"/>
        <w:gridCol w:w="109"/>
        <w:gridCol w:w="255"/>
        <w:gridCol w:w="256"/>
        <w:gridCol w:w="271"/>
        <w:gridCol w:w="109"/>
        <w:gridCol w:w="109"/>
        <w:gridCol w:w="109"/>
        <w:gridCol w:w="211"/>
        <w:gridCol w:w="721"/>
        <w:gridCol w:w="109"/>
        <w:gridCol w:w="109"/>
        <w:gridCol w:w="109"/>
        <w:gridCol w:w="109"/>
        <w:gridCol w:w="255"/>
        <w:gridCol w:w="256"/>
        <w:gridCol w:w="271"/>
        <w:gridCol w:w="109"/>
        <w:gridCol w:w="109"/>
        <w:gridCol w:w="109"/>
        <w:gridCol w:w="284"/>
        <w:gridCol w:w="281"/>
        <w:gridCol w:w="404"/>
      </w:tblGrid>
      <w:tr>
        <w:trPr/>
        <w:tc>
          <w:tcPr>
            <w:tcW w:w="143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Basis point</w:t>
            </w:r>
          </w:p>
        </w:tc>
      </w:tr>
      <w:tr>
        <w:trPr/>
        <w:tc>
          <w:tcPr>
            <w:tcW w:w="3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 (decr.)</w:t>
            </w:r>
          </w:p>
        </w:tc>
      </w:tr>
      <w:tr>
        <w:trPr/>
        <w:tc>
          <w:tcPr>
            <w:tcW w:w="3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Products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r>
      <w:tr>
        <w:trPr/>
        <w:tc>
          <w:tcPr>
            <w:tcW w:w="3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r>
      <w:tr>
        <w:trPr/>
        <w:tc>
          <w:tcPr>
            <w:tcW w:w="3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r>
      <w:tr>
        <w:trPr/>
        <w:tc>
          <w:tcPr>
            <w:tcW w:w="3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Products &amp; Services Operating Segments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r>
      <w:tr>
        <w:trPr/>
        <w:tc>
          <w:tcPr>
            <w:tcW w:w="3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Solutions Operating Segments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r>
      <w:tr>
        <w:trPr/>
        <w:tc>
          <w:tcPr>
            <w:tcW w:w="3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00" w:after="283"/>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tbl>
      <w:tblPr>
        <w:tblW w:w="10205" w:type="dxa"/>
        <w:jc w:val="center"/>
        <w:tblInd w:w="0" w:type="dxa"/>
        <w:tblLayout w:type="fixed"/>
        <w:tblCellMar>
          <w:top w:w="28" w:type="dxa"/>
          <w:left w:w="28" w:type="dxa"/>
          <w:bottom w:w="28" w:type="dxa"/>
          <w:right w:w="28" w:type="dxa"/>
        </w:tblCellMar>
      </w:tblPr>
      <w:tblGrid>
        <w:gridCol w:w="1370"/>
        <w:gridCol w:w="1196"/>
        <w:gridCol w:w="1201"/>
        <w:gridCol w:w="109"/>
        <w:gridCol w:w="109"/>
        <w:gridCol w:w="109"/>
        <w:gridCol w:w="211"/>
        <w:gridCol w:w="826"/>
        <w:gridCol w:w="109"/>
        <w:gridCol w:w="109"/>
        <w:gridCol w:w="109"/>
        <w:gridCol w:w="109"/>
        <w:gridCol w:w="255"/>
        <w:gridCol w:w="256"/>
        <w:gridCol w:w="271"/>
        <w:gridCol w:w="109"/>
        <w:gridCol w:w="109"/>
        <w:gridCol w:w="109"/>
        <w:gridCol w:w="211"/>
        <w:gridCol w:w="826"/>
        <w:gridCol w:w="109"/>
        <w:gridCol w:w="109"/>
        <w:gridCol w:w="109"/>
        <w:gridCol w:w="109"/>
        <w:gridCol w:w="255"/>
        <w:gridCol w:w="256"/>
        <w:gridCol w:w="271"/>
        <w:gridCol w:w="109"/>
        <w:gridCol w:w="109"/>
        <w:gridCol w:w="109"/>
        <w:gridCol w:w="278"/>
        <w:gridCol w:w="274"/>
        <w:gridCol w:w="395"/>
      </w:tblGrid>
      <w:tr>
        <w:trPr/>
        <w:tc>
          <w:tcPr>
            <w:tcW w:w="137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Basis point</w:t>
            </w:r>
          </w:p>
        </w:tc>
      </w:tr>
      <w:tr>
        <w:trPr/>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 (decr.)</w:t>
            </w:r>
          </w:p>
        </w:tc>
      </w:tr>
      <w:tr>
        <w:trPr/>
        <w:tc>
          <w:tcPr>
            <w:tcW w:w="3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Products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r>
      <w:tr>
        <w:trPr/>
        <w:tc>
          <w:tcPr>
            <w:tcW w:w="3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r>
      <w:tr>
        <w:trPr/>
        <w:tc>
          <w:tcPr>
            <w:tcW w:w="3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Products &amp; Services Operating Segments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r>
      <w:tr>
        <w:trPr/>
        <w:tc>
          <w:tcPr>
            <w:tcW w:w="3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IoT Solutions Operating Segments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r>
    </w:tbl>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IoT Product &amp; Services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IoT Products &amp; Services gross profit margin increased 620 basis points for the three months ended June 30, 2025 as compared to the same period in the prior fiscal year. This increase was driven by a favorable margin mix among product sales.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IoT Products &amp; Services gross profit margin increased 540 basis points for the nine months ended June 30, 2025 as compared to the same period in the prior fiscal year. This increase was driven by a favorable margin mix among product sales partially offset by an increase in inventory related adjustments.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IoT Solutions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IoT Solutions gross profit margin decreased 240 basis points for the three months ended June 30, 2025 as compared to the same period in the prior fiscal year. This decrease was the result of increased depreciation of capitalized subscriber assets driven by customer deployments and increased inventory-related expenses.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IoT Solutions gross profit margin decreased 50 basis points for the nine months ended June 30, 2025 as compared to the same period in the prior fiscal year. This decrease was the result of increased depreciation of capitalized subscriber assets driven by customer deployments and increased inventory-related expenses.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Below are our operating expenses and operating expenses as a percentage of total revenue:</w:t>
      </w:r>
    </w:p>
    <w:tbl>
      <w:tblPr>
        <w:tblW w:w="14996" w:type="dxa"/>
        <w:jc w:val="left"/>
        <w:tblInd w:w="0" w:type="dxa"/>
        <w:tblLayout w:type="fixed"/>
        <w:tblCellMar>
          <w:top w:w="28" w:type="dxa"/>
          <w:left w:w="28" w:type="dxa"/>
          <w:bottom w:w="28" w:type="dxa"/>
          <w:right w:w="28" w:type="dxa"/>
        </w:tblCellMar>
      </w:tblPr>
      <w:tblGrid>
        <w:gridCol w:w="579"/>
        <w:gridCol w:w="258"/>
        <w:gridCol w:w="259"/>
        <w:gridCol w:w="109"/>
        <w:gridCol w:w="109"/>
        <w:gridCol w:w="109"/>
        <w:gridCol w:w="196"/>
        <w:gridCol w:w="646"/>
        <w:gridCol w:w="109"/>
        <w:gridCol w:w="109"/>
        <w:gridCol w:w="109"/>
        <w:gridCol w:w="109"/>
        <w:gridCol w:w="233"/>
        <w:gridCol w:w="233"/>
        <w:gridCol w:w="241"/>
        <w:gridCol w:w="109"/>
        <w:gridCol w:w="109"/>
        <w:gridCol w:w="109"/>
        <w:gridCol w:w="196"/>
        <w:gridCol w:w="646"/>
        <w:gridCol w:w="109"/>
        <w:gridCol w:w="109"/>
        <w:gridCol w:w="109"/>
        <w:gridCol w:w="109"/>
        <w:gridCol w:w="233"/>
        <w:gridCol w:w="233"/>
        <w:gridCol w:w="241"/>
        <w:gridCol w:w="109"/>
        <w:gridCol w:w="109"/>
        <w:gridCol w:w="109"/>
        <w:gridCol w:w="196"/>
        <w:gridCol w:w="556"/>
        <w:gridCol w:w="109"/>
        <w:gridCol w:w="109"/>
        <w:gridCol w:w="109"/>
        <w:gridCol w:w="109"/>
        <w:gridCol w:w="233"/>
        <w:gridCol w:w="233"/>
        <w:gridCol w:w="269"/>
        <w:gridCol w:w="109"/>
        <w:gridCol w:w="109"/>
        <w:gridCol w:w="109"/>
        <w:gridCol w:w="196"/>
        <w:gridCol w:w="736"/>
        <w:gridCol w:w="109"/>
        <w:gridCol w:w="109"/>
        <w:gridCol w:w="109"/>
        <w:gridCol w:w="109"/>
        <w:gridCol w:w="233"/>
        <w:gridCol w:w="233"/>
        <w:gridCol w:w="241"/>
        <w:gridCol w:w="109"/>
        <w:gridCol w:w="109"/>
        <w:gridCol w:w="109"/>
        <w:gridCol w:w="196"/>
        <w:gridCol w:w="736"/>
        <w:gridCol w:w="109"/>
        <w:gridCol w:w="109"/>
        <w:gridCol w:w="109"/>
        <w:gridCol w:w="109"/>
        <w:gridCol w:w="233"/>
        <w:gridCol w:w="233"/>
        <w:gridCol w:w="241"/>
        <w:gridCol w:w="327"/>
        <w:gridCol w:w="196"/>
        <w:gridCol w:w="556"/>
        <w:gridCol w:w="109"/>
        <w:gridCol w:w="327"/>
        <w:gridCol w:w="391"/>
        <w:gridCol w:w="316"/>
      </w:tblGrid>
      <w:tr>
        <w:trPr/>
        <w:tc>
          <w:tcPr>
            <w:tcW w:w="5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incr.</w:t>
              <w:br/>
              <w:t>(decr.)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incr.</w:t>
              <w:br/>
              <w:t>(decr.)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incr.</w:t>
              <w:br/>
              <w:t>(decr.)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incr.</w:t>
              <w:br/>
              <w:t>(decr.)</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100" w:after="283"/>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$4.0 million increase in operating expenses for the three months ended June 30, 2025, as compared to the same period in the prior fiscal year was due to a $2.8 million increase in labor expense and a $1.2 million increase in non-labor expense. The $3.1 million increase in operating expenses for the nine months ended June 30, 2025, as compared to the same period in the prior fiscal year was due to a $5.6 million increase in labor expense, a $1.7 million increase in non-labor expense and a $2.1 million gain on the sale of an intangible asset in the second fiscal quarter of fiscal 2024 that did not reoccur, partially offset by a $6.3 million litigation reserve increase in the second fiscal quarter of fiscal 2024 that did not reoccur.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00" w:after="283"/>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Below are our other expenses, net, and other expenses, net as a percentage of total revenue:</w:t>
      </w:r>
    </w:p>
    <w:tbl>
      <w:tblPr>
        <w:tblW w:w="14306"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436"/>
        <w:gridCol w:w="109"/>
        <w:gridCol w:w="109"/>
        <w:gridCol w:w="109"/>
        <w:gridCol w:w="109"/>
        <w:gridCol w:w="210"/>
        <w:gridCol w:w="196"/>
        <w:gridCol w:w="241"/>
        <w:gridCol w:w="109"/>
        <w:gridCol w:w="109"/>
        <w:gridCol w:w="109"/>
        <w:gridCol w:w="196"/>
        <w:gridCol w:w="571"/>
        <w:gridCol w:w="109"/>
        <w:gridCol w:w="109"/>
        <w:gridCol w:w="109"/>
        <w:gridCol w:w="109"/>
        <w:gridCol w:w="210"/>
        <w:gridCol w:w="196"/>
        <w:gridCol w:w="241"/>
        <w:gridCol w:w="109"/>
        <w:gridCol w:w="109"/>
        <w:gridCol w:w="109"/>
        <w:gridCol w:w="196"/>
        <w:gridCol w:w="556"/>
        <w:gridCol w:w="109"/>
        <w:gridCol w:w="109"/>
        <w:gridCol w:w="109"/>
        <w:gridCol w:w="109"/>
        <w:gridCol w:w="277"/>
        <w:gridCol w:w="279"/>
        <w:gridCol w:w="269"/>
        <w:gridCol w:w="109"/>
        <w:gridCol w:w="109"/>
        <w:gridCol w:w="109"/>
        <w:gridCol w:w="196"/>
        <w:gridCol w:w="571"/>
        <w:gridCol w:w="109"/>
        <w:gridCol w:w="109"/>
        <w:gridCol w:w="109"/>
        <w:gridCol w:w="109"/>
        <w:gridCol w:w="210"/>
        <w:gridCol w:w="196"/>
        <w:gridCol w:w="241"/>
        <w:gridCol w:w="109"/>
        <w:gridCol w:w="109"/>
        <w:gridCol w:w="109"/>
        <w:gridCol w:w="196"/>
        <w:gridCol w:w="661"/>
        <w:gridCol w:w="109"/>
        <w:gridCol w:w="109"/>
        <w:gridCol w:w="109"/>
        <w:gridCol w:w="109"/>
        <w:gridCol w:w="210"/>
        <w:gridCol w:w="196"/>
        <w:gridCol w:w="241"/>
        <w:gridCol w:w="327"/>
        <w:gridCol w:w="196"/>
        <w:gridCol w:w="646"/>
        <w:gridCol w:w="109"/>
        <w:gridCol w:w="327"/>
        <w:gridCol w:w="571"/>
        <w:gridCol w:w="31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incr.</w:t>
              <w:br/>
              <w:t>(decr.)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incr.</w:t>
              <w:br/>
              <w:t>(decr.)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incr.</w:t>
              <w:br/>
              <w:t>(decr.)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incr.</w:t>
              <w:br/>
              <w:t>(decr.)</w:t>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 write-off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NM means not meaningful</w:t>
      </w:r>
    </w:p>
    <w:p>
      <w:pPr>
        <w:pStyle w:val="TextBody"/>
        <w:bidi w:val="0"/>
        <w:spacing w:lineRule="auto" w:line="288" w:before="200" w:after="283"/>
        <w:jc w:val="left"/>
        <w:rPr/>
      </w:pPr>
      <w:r>
        <w:rPr>
          <w:rFonts w:ascii="Times New Roman;serif" w:hAnsi="Times New Roman;serif"/>
          <w:b w:val="false"/>
          <w:color w:val="000000"/>
          <w:sz w:val="20"/>
        </w:rPr>
        <w:t xml:space="preserve">Other expense, net, decreased $2.3 million for the three months ended June 30, 2025, as compared to the same period in the prior fiscal year. Other expense, net, decreased $17.8 million for the nine months ended June 30, 2025, as compared to the same period in the prior fiscal year. These decreases were driven by a write-off of debt issuance costs in the second fiscal quarter of 2024 and a reduction in interest expense due to a decrease in average debt outstanding and our effective interest rate (see </w:t>
      </w:r>
      <w:hyperlink w:anchor="iad0ffbf5b8b44cc1b03d406ac6dd9cb1_46">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 xml:space="preserve">to the condensed consolidated financial statements for additional information).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p>
      <w:pPr>
        <w:pStyle w:val="TextBody"/>
        <w:bidi w:val="0"/>
        <w:spacing w:lineRule="auto" w:line="288" w:before="200" w:after="283"/>
        <w:jc w:val="left"/>
        <w:rPr/>
      </w:pPr>
      <w:r>
        <w:rPr>
          <w:rFonts w:ascii="Times New Roman;serif" w:hAnsi="Times New Roman;serif"/>
          <w:b w:val="false"/>
          <w:color w:val="000000"/>
          <w:sz w:val="20"/>
        </w:rPr>
        <w:t xml:space="preserve">See </w:t>
      </w:r>
      <w:hyperlink w:anchor="iad0ffbf5b8b44cc1b03d406ac6dd9cb1_55">
        <w:r>
          <w:rPr>
            <w:rStyle w:val="InternetLink"/>
            <w:rFonts w:ascii="Times New Roman;serif" w:hAnsi="Times New Roman;serif"/>
            <w:b w:val="false"/>
            <w:color w:val="0000FF"/>
            <w:sz w:val="20"/>
            <w:u w:val="single"/>
          </w:rPr>
          <w:t>Note 8</w:t>
        </w:r>
      </w:hyperlink>
      <w:r>
        <w:rPr>
          <w:color w:val="000000"/>
        </w:rPr>
        <w:t xml:space="preserve"> </w:t>
      </w:r>
      <w:r>
        <w:rPr>
          <w:rFonts w:ascii="Times New Roman;serif" w:hAnsi="Times New Roman;serif"/>
          <w:b w:val="false"/>
          <w:color w:val="000000"/>
          <w:sz w:val="20"/>
        </w:rPr>
        <w:t>to the condensed consolidated financial statements for discussion of 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KEY BUSINESS METRIC</w:t>
      </w:r>
    </w:p>
    <w:p>
      <w:pPr>
        <w:pStyle w:val="TextBody"/>
        <w:bidi w:val="0"/>
        <w:spacing w:lineRule="auto" w:line="247" w:before="200" w:after="283"/>
        <w:jc w:val="left"/>
        <w:rPr>
          <w:rFonts w:ascii="Times New Roman;serif" w:hAnsi="Times New Roman;serif"/>
          <w:b w:val="false"/>
          <w:color w:val="000000"/>
          <w:sz w:val="20"/>
        </w:rPr>
      </w:pPr>
      <w:r>
        <w:rPr>
          <w:rFonts w:ascii="Times New Roman;serif" w:hAnsi="Times New Roman;serif"/>
          <w:b w:val="false"/>
          <w:color w:val="000000"/>
          <w:sz w:val="20"/>
        </w:rPr>
        <w:t>Annualized Recurring Revenue (ARR) represents the annualized monthly value of all billable subscription contracts, measured at the end of any fiscal period. ARR should be viewed independently of revenue and deferred revenue and is not intended to replace or forecast either of these items. Digi management uses ARR to manage and assess the growth of our subscription revenue business. We believe ARR is an indicator of the scale of our subscription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our future operating results do not meet current forecasts or if we experience a sustained decline in our market capitalization that is determined to be indicative of a reduction in fair value of one or more of our reporting units within either of our segments, we may be required to record future impairment charges for goodwill.</w:t>
      </w:r>
    </w:p>
    <w:p>
      <w:pPr>
        <w:pStyle w:val="TextBody"/>
        <w:bidi w:val="0"/>
        <w:spacing w:lineRule="auto" w:line="288" w:before="200" w:after="283"/>
        <w:jc w:val="left"/>
        <w:rPr/>
      </w:pPr>
      <w:r>
        <w:rPr>
          <w:rFonts w:ascii="Times New Roman;serif" w:hAnsi="Times New Roman;serif"/>
          <w:b w:val="false"/>
          <w:color w:val="000000"/>
          <w:sz w:val="20"/>
        </w:rPr>
        <w:t xml:space="preserve">See </w:t>
      </w:r>
      <w:hyperlink w:anchor="iad0ffbf5b8b44cc1b03d406ac6dd9cb1_43">
        <w:r>
          <w:rPr>
            <w:rStyle w:val="InternetLink"/>
            <w:rFonts w:ascii="Times New Roman;serif" w:hAnsi="Times New Roman;serif"/>
            <w:b w:val="false"/>
            <w:color w:val="0000FF"/>
            <w:sz w:val="20"/>
            <w:u w:val="single"/>
          </w:rPr>
          <w:t>Note 4</w:t>
        </w:r>
      </w:hyperlink>
      <w:r>
        <w:rPr>
          <w:color w:val="000000"/>
        </w:rPr>
        <w:t xml:space="preserve"> </w:t>
      </w:r>
      <w:r>
        <w:rPr>
          <w:rFonts w:ascii="Times New Roman;serif" w:hAnsi="Times New Roman;serif"/>
          <w:b w:val="false"/>
          <w:color w:val="000000"/>
          <w:sz w:val="20"/>
        </w:rPr>
        <w:t>to the condensed consolidated financial statements for additional discussion of goodwill.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NON-GAAP FINANCIAL INFORMATION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report includes adjusted net income, adjusted net income per diluted share and adjusted earnings before interest, taxes and amortization ("Adjusted EBITDA"), each of which is a non-GAAP financial measure.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Non-GAAP measures are not substitutes for GAAP measures for the purpose of analyzing financial performance. The disclosure of these measures does not reflect all charges and gains that actually were recognized by Digi. These non-GAAP measures are not in accordance with, or, an alternative for measures prepared in accordance with GAAP and may be different from non-GAAP measures used by other companies or presented by us in prior reports.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We believe these measures should only be used to evaluate our results of operations in conjunction with the corresponding GAAP measures. Additionally, Adjusted EBITDA does not reflect our cash expenditures, the cash requirements for the replacement of depreciated and amortized assets, or changes in or cash requirements for our working capital needs. We believe that providing historical and adjusted net income and adjusted net income per diluted share, respectively, exclusive of such items as reversals of tax reserves, discrete tax benefits, restructuring charges and reversals, intangible amortization, stock-based compensation, other non-operating income/expense, adjustments to estimates of contingent consideration, acquisition-related expenses and interest expense related to acquisition permits investors to compare results with prior periods that did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00" w:after="283"/>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include these items. Management uses the aforementioned non-GAAP measures to monitor and evaluate ongoing operating results and trends and to gain an understanding of our comparative operating performance. In addition, certain of our stockholders have expressed an interest in seeing financial performance measures exclusive of the impact of these matters, which while important, are not central to the core operations of our business. Management believes that Adjusted EBITDA, defined as EBITDA adjusted for stock-based compensation expense, acquisition-related expenses, restructuring charges and reversals and changes in fair value of contingent consideration, is useful to investors to evaluate our core operating results and financial performance because it excludes items that are significant non-cash or non-recurring expenses reflected in the consolidated statements of operations. We believe that the presentation of Adjusted EBITDA as a percentage of revenue is useful to investors because it provides a reliable and consistent approach to measuring our performance from year to year and in assessing our performance against that of other companies. We believe this information helps compare operating results and corporate performance exclusive of the impact of our capital structure and the method by which assets were acquired.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Below are reconciliations from GAAP to non-GAAP information that we feel are important to our business:</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Reconciliation of Net Income to Adjusted EBITDA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2321" w:type="dxa"/>
        <w:jc w:val="left"/>
        <w:tblInd w:w="0" w:type="dxa"/>
        <w:tblLayout w:type="fixed"/>
        <w:tblCellMar>
          <w:top w:w="28" w:type="dxa"/>
          <w:left w:w="28" w:type="dxa"/>
          <w:bottom w:w="28" w:type="dxa"/>
          <w:right w:w="28" w:type="dxa"/>
        </w:tblCellMar>
      </w:tblPr>
      <w:tblGrid>
        <w:gridCol w:w="772"/>
        <w:gridCol w:w="244"/>
        <w:gridCol w:w="245"/>
        <w:gridCol w:w="211"/>
        <w:gridCol w:w="826"/>
        <w:gridCol w:w="109"/>
        <w:gridCol w:w="109"/>
        <w:gridCol w:w="109"/>
        <w:gridCol w:w="109"/>
        <w:gridCol w:w="308"/>
        <w:gridCol w:w="308"/>
        <w:gridCol w:w="417"/>
        <w:gridCol w:w="109"/>
        <w:gridCol w:w="109"/>
        <w:gridCol w:w="109"/>
        <w:gridCol w:w="211"/>
        <w:gridCol w:w="826"/>
        <w:gridCol w:w="109"/>
        <w:gridCol w:w="109"/>
        <w:gridCol w:w="109"/>
        <w:gridCol w:w="109"/>
        <w:gridCol w:w="308"/>
        <w:gridCol w:w="308"/>
        <w:gridCol w:w="417"/>
        <w:gridCol w:w="109"/>
        <w:gridCol w:w="109"/>
        <w:gridCol w:w="109"/>
        <w:gridCol w:w="211"/>
        <w:gridCol w:w="826"/>
        <w:gridCol w:w="109"/>
        <w:gridCol w:w="109"/>
        <w:gridCol w:w="109"/>
        <w:gridCol w:w="109"/>
        <w:gridCol w:w="308"/>
        <w:gridCol w:w="308"/>
        <w:gridCol w:w="417"/>
        <w:gridCol w:w="109"/>
        <w:gridCol w:w="109"/>
        <w:gridCol w:w="109"/>
        <w:gridCol w:w="211"/>
        <w:gridCol w:w="826"/>
        <w:gridCol w:w="109"/>
        <w:gridCol w:w="109"/>
        <w:gridCol w:w="109"/>
        <w:gridCol w:w="109"/>
        <w:gridCol w:w="308"/>
        <w:gridCol w:w="308"/>
        <w:gridCol w:w="472"/>
      </w:tblGrid>
      <w:tr>
        <w:trPr/>
        <w:tc>
          <w:tcPr>
            <w:tcW w:w="77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br/>
              <w:t>revenue</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 write-off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accrual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asset 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283"/>
        <w:jc w:val="center"/>
        <w:rPr/>
      </w:pPr>
      <w:r>
        <w:rPr/>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00" w:after="283"/>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Reconciliation of Net Income and Net Income per Diluted Share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Adjusted Net Income and Adjusted Net Income per Diluted Share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bl>
      <w:tblPr>
        <w:tblW w:w="11098" w:type="dxa"/>
        <w:jc w:val="left"/>
        <w:tblInd w:w="0" w:type="dxa"/>
        <w:tblLayout w:type="fixed"/>
        <w:tblCellMar>
          <w:top w:w="28" w:type="dxa"/>
          <w:left w:w="28" w:type="dxa"/>
          <w:bottom w:w="28" w:type="dxa"/>
          <w:right w:w="28" w:type="dxa"/>
        </w:tblCellMar>
      </w:tblPr>
      <w:tblGrid>
        <w:gridCol w:w="816"/>
        <w:gridCol w:w="229"/>
        <w:gridCol w:w="231"/>
        <w:gridCol w:w="211"/>
        <w:gridCol w:w="721"/>
        <w:gridCol w:w="109"/>
        <w:gridCol w:w="109"/>
        <w:gridCol w:w="109"/>
        <w:gridCol w:w="109"/>
        <w:gridCol w:w="211"/>
        <w:gridCol w:w="511"/>
        <w:gridCol w:w="109"/>
        <w:gridCol w:w="109"/>
        <w:gridCol w:w="109"/>
        <w:gridCol w:w="109"/>
        <w:gridCol w:w="211"/>
        <w:gridCol w:w="721"/>
        <w:gridCol w:w="109"/>
        <w:gridCol w:w="109"/>
        <w:gridCol w:w="109"/>
        <w:gridCol w:w="109"/>
        <w:gridCol w:w="211"/>
        <w:gridCol w:w="511"/>
        <w:gridCol w:w="109"/>
        <w:gridCol w:w="109"/>
        <w:gridCol w:w="109"/>
        <w:gridCol w:w="109"/>
        <w:gridCol w:w="211"/>
        <w:gridCol w:w="721"/>
        <w:gridCol w:w="109"/>
        <w:gridCol w:w="109"/>
        <w:gridCol w:w="109"/>
        <w:gridCol w:w="109"/>
        <w:gridCol w:w="211"/>
        <w:gridCol w:w="511"/>
        <w:gridCol w:w="109"/>
        <w:gridCol w:w="109"/>
        <w:gridCol w:w="109"/>
        <w:gridCol w:w="109"/>
        <w:gridCol w:w="211"/>
        <w:gridCol w:w="721"/>
        <w:gridCol w:w="109"/>
        <w:gridCol w:w="109"/>
        <w:gridCol w:w="109"/>
        <w:gridCol w:w="109"/>
        <w:gridCol w:w="211"/>
        <w:gridCol w:w="511"/>
        <w:gridCol w:w="154"/>
      </w:tblGrid>
      <w:tr>
        <w:trPr/>
        <w:tc>
          <w:tcPr>
            <w:tcW w:w="8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and net income per diluted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accrual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asset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 write-off</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effect from the above adjustments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Discrete tax benefits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net income and adjusted net income per diluted share </w:t>
            </w:r>
            <w:r>
              <w:rPr>
                <w:rFonts w:ascii="Times New Roman;serif" w:hAnsi="Times New Roman;serif"/>
                <w:b w:val="false"/>
                <w:color w:val="000000"/>
                <w:sz w:val="13"/>
              </w:rPr>
              <w:t>(3)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36,921</w:t>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(1)The tax effect from the above adjustments assumes an estimated effective tax rate of 18.0% for fiscal 2025 and fiscal 2024 based on adjusted net income.</w:t>
      </w:r>
    </w:p>
    <w:p>
      <w:pPr>
        <w:pStyle w:val="TextBody"/>
        <w:bidi w:val="0"/>
        <w:spacing w:lineRule="auto" w:line="288" w:before="0" w:after="0"/>
        <w:ind w:left="0" w:right="0" w:hanging="360"/>
        <w:jc w:val="left"/>
        <w:rPr/>
      </w:pPr>
      <w:r>
        <w:rPr>
          <w:rFonts w:ascii="Times New Roman;serif" w:hAnsi="Times New Roman;serif"/>
          <w:b w:val="false"/>
          <w:color w:val="000000"/>
          <w:sz w:val="18"/>
        </w:rPr>
        <w:t xml:space="preserve">(2)For the three and </w:t>
      </w:r>
      <w:r>
        <w:rPr>
          <w:rFonts w:ascii="Times New Roman;serif" w:hAnsi="Times New Roman;serif"/>
          <w:b w:val="false"/>
          <w:color w:val="000000"/>
          <w:sz w:val="20"/>
        </w:rPr>
        <w:t xml:space="preserve">nine </w:t>
      </w:r>
      <w:r>
        <w:rPr>
          <w:rFonts w:ascii="Times New Roman;serif" w:hAnsi="Times New Roman;serif"/>
          <w:b w:val="false"/>
          <w:color w:val="000000"/>
          <w:sz w:val="18"/>
        </w:rPr>
        <w:t>months ended June 30, 2025 and 2024, discrete tax benefits are a result of changes in excess tax benefits recognized on stock compensation.</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(3)Adjusted net income per diluted share may not add due to the use of rounded numbers.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00" w:after="283"/>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we have financed our operations and capital expenditures principally with funds generated from operations. In fiscal 2022 we issued debt to fund our acquisition of Ventus. Our liquidity requirements arise from our working capital needs, and to a lesser extent, our need to fund capital expenditures to support our current operations and facilitate growth and expansion. </w:t>
      </w:r>
    </w:p>
    <w:p>
      <w:pPr>
        <w:pStyle w:val="TextBody"/>
        <w:bidi w:val="0"/>
        <w:spacing w:lineRule="auto" w:line="288" w:before="200" w:after="283"/>
        <w:jc w:val="left"/>
        <w:rPr/>
      </w:pPr>
      <w:r>
        <w:rPr>
          <w:rFonts w:ascii="Times New Roman;serif" w:hAnsi="Times New Roman;serif"/>
          <w:b w:val="false"/>
          <w:color w:val="000000"/>
          <w:sz w:val="20"/>
        </w:rPr>
        <w:t xml:space="preserve">On December 7, 2023, we entered into a credit agreement. The Credit Agreement provides Digi with a $250 million senior secured revolving credit facility, with an uncommitted accordion feature that provides for additional borrowing capacity of up to the greater of $95 million or one hundred percent of trailing twelve month adjusted earnings before interest, taxes, depreciation, and amortization. The Credit Facility also contains a $10 million letter of credit sublimit and $10 million swingline sub-facility. Digi used the proceeds to retire the remaining balance of the prior credit agreement and may use the proceeds in the future for general corporate purposes. For additional information regarding the terms of our Credit Facility, including the Revolving Loan and its subfacilities, see </w:t>
      </w:r>
      <w:hyperlink w:anchor="iad0ffbf5b8b44cc1b03d406ac6dd9cb1_46">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 xml:space="preserve">to our condensed consolidated financial statements.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Credit Agreement replaced our prior credit agreement that consisted of a $350 million term loan B secured loan and a $35 million revolving credit facility. The $35 million revolving credit facility included a $10 million letter of credit subfacility and $10 million swingline subfacility.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positive cash flows from operations for the foreseeable future. We believe that our current cash and cash equivalents balances, cash generated from operations and our ability to borrow under our credit facility will be sufficient to fund our business operations and capital expenditures for the next 12 months and beyond.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condensed consolidated statements of cash flows for the nine months ended June 30, 2025 and 2024 are summarized as follows:</w:t>
      </w:r>
    </w:p>
    <w:tbl>
      <w:tblPr>
        <w:tblW w:w="7866" w:type="dxa"/>
        <w:jc w:val="center"/>
        <w:tblInd w:w="0" w:type="dxa"/>
        <w:tblLayout w:type="fixed"/>
        <w:tblCellMar>
          <w:top w:w="28" w:type="dxa"/>
          <w:left w:w="28" w:type="dxa"/>
          <w:bottom w:w="28" w:type="dxa"/>
          <w:right w:w="28" w:type="dxa"/>
        </w:tblCellMar>
      </w:tblPr>
      <w:tblGrid>
        <w:gridCol w:w="1838"/>
        <w:gridCol w:w="1619"/>
        <w:gridCol w:w="1628"/>
        <w:gridCol w:w="109"/>
        <w:gridCol w:w="109"/>
        <w:gridCol w:w="109"/>
        <w:gridCol w:w="211"/>
        <w:gridCol w:w="721"/>
        <w:gridCol w:w="109"/>
        <w:gridCol w:w="109"/>
        <w:gridCol w:w="109"/>
        <w:gridCol w:w="109"/>
        <w:gridCol w:w="211"/>
        <w:gridCol w:w="721"/>
        <w:gridCol w:w="154"/>
      </w:tblGrid>
      <w:tr>
        <w:trPr/>
        <w:tc>
          <w:tcPr>
            <w:tcW w:w="1838"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5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 increased $23.3 million as a result of:</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 $20.2 million increase in net income in the first nine months of fiscal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 $15.1 million decrease in net operating assets for the first nine months of fiscal 2025 compared to a $0.2 million increase in the first nine months of fiscal 2024,</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 one-time $2.2 million gain on the sale of assets in the second quarter of fiscal 2024,</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and a $2.5 million increase in deferred income tax benefit for the first nine months of fiscal 2025 compared to a $3.0 million increase in the first nine months of fiscal 2024.</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These were partially offset by: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 $9.7 million debt issuance cost write-off included in net income in the first quarter of fiscal 2024,</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and a $6.3 million accrual for litigation expense in the second quarter of fiscal 2024.</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00" w:after="283"/>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used in investing activities decreased $3.1 million as a result of:</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 $2.2 million decrease in proceeds from the sale of intangible assets,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and a $0.9 million increase in purchases of property, equipment, improvements and certain other intangible assets.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used in financing activities increased $22.7 million as a result of:</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net proceeds of $214.1 million from the issuance of a new credit facility in the first quarter of fiscal 2024 that did not repeat in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and a $3.3 million increase in taxes paid to satisfy tax withholding obligations of holders of options to purchase common shares and restricted stock unit awards in connections with net share settlements.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These were partially offset by: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debt payments of $83.3 million in the first nine months of fiscal 2025, compared to debt payments of $276.2 million in the first nine months of fiscal 2024</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and a $1.7 million increase in proceeds from stock option exercises and employee stock purchase plan transactions.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CONTRACTUAL OBLIGATIONS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contractual obligations at June 30, 2025:</w:t>
      </w:r>
    </w:p>
    <w:tbl>
      <w:tblPr>
        <w:tblW w:w="8499" w:type="dxa"/>
        <w:jc w:val="center"/>
        <w:tblInd w:w="0" w:type="dxa"/>
        <w:tblLayout w:type="fixed"/>
        <w:tblCellMar>
          <w:top w:w="28" w:type="dxa"/>
          <w:left w:w="28" w:type="dxa"/>
          <w:bottom w:w="28" w:type="dxa"/>
          <w:right w:w="28" w:type="dxa"/>
        </w:tblCellMar>
      </w:tblPr>
      <w:tblGrid>
        <w:gridCol w:w="526"/>
        <w:gridCol w:w="463"/>
        <w:gridCol w:w="466"/>
        <w:gridCol w:w="109"/>
        <w:gridCol w:w="109"/>
        <w:gridCol w:w="109"/>
        <w:gridCol w:w="211"/>
        <w:gridCol w:w="721"/>
        <w:gridCol w:w="109"/>
        <w:gridCol w:w="109"/>
        <w:gridCol w:w="109"/>
        <w:gridCol w:w="109"/>
        <w:gridCol w:w="318"/>
        <w:gridCol w:w="928"/>
        <w:gridCol w:w="164"/>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Payments due by fiscal period</w:t>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Thereafter</w:t>
            </w:r>
          </w:p>
        </w:tc>
      </w:tr>
      <w:tr>
        <w:trPr/>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operating leases included above primarily relate to office space. The table above does not include possible payments for uncertain tax positions. Our reserve for uncertain tax positions, including accrued interest and penalties, was $0.1 million as of June 30, 2025. Due to the nature of the underlying liabilities and the extended time often needed to resolve income tax uncertainties, we cannot make reliable estimates of the amount or timing of future cash payments that may be required to settle these liabilities. The table above also does not include those obligations for royalties under license agreements as these royalties are calculated based on future sales of licensed products and we cannot make reliable estimates of the amount of cash payments.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RECENTLY ISSUED ACCOUNTING PRONOUNCEMENTS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exposed to ongoing market risk related to changes in interest rates and foreign currency exchange rates.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INTEREST RATE RISK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related to fluctuations in interest rates on amounts borrowed under the Credit Facility. As of June 30, 2025, we had $41.0 million outstanding under our Revolving Loan. Borrowings under the Credit Facility bear interest at a rate per annum equal to Term SOFR with a floor of 0.00% for an interest period of one, three, or six months as selected by Digi, reset at the end of the selected interest period (or a replacement benchmark rate if Term SOFR is no longer available) plus the applicable margin or a base rate plus the applicable margin. The base rate is determined by reference to the highest of (1) BMO’s prime rate, (2) the rate determined by BMO to be the average rate of Federal funds in the secondary market plus 0.50%, or (3) one-month SOFR plus 1.00%. The applicable margin for loans under the Credit Facility is in a range of 1.75 to 2.75% for Term SOFR loans and 0.75% to 1.75% for base rate loans, depending on Digi’s total net leverage ratio.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borrowings in the period were made at Term SOFR for a one-month interest election period plus an applicable margin of 2.25% through February 13, 2025 and at Term SOFR for a six-month interest election period plus an applicable margin of 1.75% following that date. Our weighted average interest rate for our Credit Facility as of June 30, 2025 was 6.10%. </w:t>
      </w:r>
    </w:p>
    <w:p>
      <w:pPr>
        <w:pStyle w:val="TextBody"/>
        <w:bidi w:val="0"/>
        <w:spacing w:lineRule="auto" w:line="288" w:before="200" w:after="283"/>
        <w:jc w:val="left"/>
        <w:rPr/>
      </w:pPr>
      <w:r>
        <w:rPr>
          <w:rFonts w:ascii="Times New Roman;serif" w:hAnsi="Times New Roman;serif"/>
          <w:b w:val="false"/>
          <w:color w:val="000000"/>
          <w:sz w:val="20"/>
        </w:rPr>
        <w:t>Digi bases the interest period election described above on an assessment of the interest rate environment conducted on a monthly basis. Based on the balance sheet position for the Revolving Loan at June 30, 2025, the annualized effect of a 25 basis point change in interest rates would increase or decrease our interest expense by $0.1 million. For additional information, see </w:t>
      </w:r>
      <w:hyperlink w:anchor="iad0ffbf5b8b44cc1b03d406ac6dd9cb1_46">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to our condensed consolidated financial statements. For our Credit Facility, interest rate changes generally do not affect the fair value of the debt instruments, but do impact future earnings and cash flows, assuming other factors are held constant. If interest rates remain elevated, we will continue to see interest expenses that are higher than historical amounts.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RISK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not exposed to foreign currency transaction risk associated with sales transactions as the majority of our sales are denominated in U.S. Dollars. We are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We have not implemented a formal hedging strategy.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10% change in the average exchange rate for the Euro, British Pound, Australian Dollar and Canadian Dollar to the U.S. Dollar during the first nine months of fiscal 2025 would have resulted in a 0.9% increase or decrease in stockholders' equity due to foreign currency translation.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CREDIT RISK</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exposure to credit risk related to our accounts receivable portfolio. Exposure to credit risk is controlled through regular monitoring of customer financial status, credit limits and collaboration with sales management and customer contacts to facilitate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EVALUATION OF DISCLOSURE CONTROLS AND PROCEDURES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we conducted an evaluation, under the supervision and with the participation of the Chief Executive Officer and Chief Financial Officer, of our disclosure controls and procedures (as defined in Rules 13a-15(e) and 15d-15(e) under the Securities Exchange Act of 1934 (the "Exchange Act")). Based on this evaluation, the Chief Executive Officer and Chief Financial Officer concluded that our disclosure controls and procedures were effective to ensure that information required to be disclosed by us in reports that we file or submit under the Exchange Act was recorded, processed, summarized and reported within the time periods specified in SEC rules and forms and is accumulated and communicated to our management, including the principal executive and principal financial officers, or persons performing similar functions, as appropriate to allow timely decisions regarding required disclosure.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CHANGES IN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nine months ended June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jc w:val="left"/>
        <w:rPr/>
      </w:pPr>
      <w:r>
        <w:rPr>
          <w:rFonts w:ascii="Times New Roman;serif" w:hAnsi="Times New Roman;serif"/>
          <w:b w:val="false"/>
          <w:color w:val="000000"/>
          <w:sz w:val="20"/>
        </w:rPr>
        <w:t xml:space="preserve">The disclosure set forth in </w:t>
      </w:r>
      <w:hyperlink w:anchor="iad0ffbf5b8b44cc1b03d406ac6dd9cb1_64">
        <w:r>
          <w:rPr>
            <w:rStyle w:val="InternetLink"/>
            <w:rFonts w:ascii="Times New Roman;serif" w:hAnsi="Times New Roman;serif"/>
            <w:b w:val="false"/>
            <w:color w:val="0000FF"/>
            <w:sz w:val="20"/>
            <w:u w:val="single"/>
          </w:rPr>
          <w:t>Note 11</w:t>
        </w:r>
      </w:hyperlink>
      <w:r>
        <w:rPr>
          <w:color w:val="000000"/>
        </w:rPr>
        <w:t xml:space="preserve"> </w:t>
      </w:r>
      <w:r>
        <w:rPr>
          <w:rFonts w:ascii="Times New Roman;serif" w:hAnsi="Times New Roman;serif"/>
          <w:b w:val="false"/>
          <w:color w:val="000000"/>
          <w:sz w:val="20"/>
        </w:rPr>
        <w:t>to the condensed consolidated financial statements in Part I, Item 1 of this Form 10-Q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Except as set forth below, there have been no material changes in our risk factors from those previously disclosed in Item 1A of Part I of our Annual Report on </w:t>
      </w:r>
      <w:hyperlink r:id="rId8">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year ended September 30, 2024.</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Our dependence on new product development, rapid technological change, competitors’ product introductions and enhancements, and regulatory changes make us susceptible to potential fluctuations in demand or loss of market share for our products.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Our industry is characterized by rapidly changing technologies, evolving industry standards, frequent new product introductions, short product life cycles in certain instances and rapidly changing customer requirements. One example of new technology that could impact the markets in which we sell products and customer requirements could be the introduction of artificial intelligence features into products or solutions offerings.</w:t>
      </w:r>
      <w:r>
        <w:rPr>
          <w:color w:val="000000"/>
        </w:rPr>
        <w:t xml:space="preserve"> </w:t>
      </w:r>
      <w:r>
        <w:rPr>
          <w:rFonts w:ascii="Times New Roman;serif" w:hAnsi="Times New Roman;serif"/>
          <w:b w:val="false"/>
          <w:color w:val="000000"/>
          <w:sz w:val="20"/>
        </w:rPr>
        <w:t xml:space="preserve">The introduction of products and enhancements embodying new technologies, whether via competitors’ products or just changes in markets where we sell products because of other changes in technology more generally, can disrupt one or more markets in which we compete. In addition, the emergence of new or changed industry standards or regulations impacting our industry can also cause demand for our products to fluctuate or render our products obsolete or unmarketable.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Our future success will depend on our ability to enhance our existing products, to introduce new products to meet changing customer requirements and emerging technologies as well as potential regulatory changes, and to demonstrate the performance advantages and cost-effectiveness of our products over competing products. This could be impacted not only by the features we offer in our products, but also by our ability to operate efficiently relative to those with whom we compete.</w:t>
      </w:r>
      <w:r>
        <w:rPr>
          <w:color w:val="000000"/>
        </w:rPr>
        <w:t xml:space="preserve"> </w:t>
      </w:r>
      <w:r>
        <w:rPr>
          <w:rFonts w:ascii="Times New Roman;serif" w:hAnsi="Times New Roman;serif"/>
          <w:b w:val="false"/>
          <w:color w:val="000000"/>
          <w:sz w:val="20"/>
        </w:rPr>
        <w:t>For instance, if competitors with more resources than us are able to deploy efficiency enhancements into their operations more quickly than us (whether via significant investments in artificial intelligence or otherwise) they may be better positioned than us to more quickly enhance existing products or introduce new products that meet customer requirements or market demands.</w:t>
      </w:r>
      <w:r>
        <w:rPr>
          <w:color w:val="000000"/>
        </w:rPr>
        <w:t xml:space="preserve"> </w:t>
      </w:r>
      <w:r>
        <w:rPr>
          <w:rFonts w:ascii="Times New Roman;serif" w:hAnsi="Times New Roman;serif"/>
          <w:b w:val="false"/>
          <w:color w:val="000000"/>
          <w:sz w:val="20"/>
        </w:rPr>
        <w:t>Failure by us to modify our products to support new alternative technologies or failure to achieve widespread customer acceptance of such modified products could cause us to lose market share and cause our revenue to decline. Further, if our competitors offer better service capabilities associated with the implementation and use of their products, our business could be impacted negatively.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may experience delays in developing and marketing product enhancements or new products that respond to technological change, evolving industry standards or regulations and changing customer requirements. There can be no assurance that we will not experience difficulties that could delay or prevent the successful development, introduction, and marketing of these products or product enhancements, or that our new products and product enhancements will meet the requirements of the marketplace adequately and achieve any significant or sustainable degree of market acceptance in existing or additional markets. Further, demand for products can fluctuate because of changes in technology generally which could also impact our sales of products. In addition, the future introductions or announcements of products by us or one of our competitors embodying new technologies or changes in industry standards or regulations or customer requirements could render our then-existing products obsolete or unmarketable. This risk may become more pronounced as new competitors emerge in markets where we sell our products, especially if these competitors have more resources than us to develop and market new products and technologies and provide related services. There can be no assurance that the introduction or announcement of new technologies into markets where we sell products or the introduction or announcement of product offerings by us or one or more of our competitors will not cause customers to defer their purchase of our existing products, which could cause our revenue to decline.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Potential new or incremental international tariffs could materially and adversely affect our business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Due to the global reach of our operations, changes in international trade policy could result in an adverse effect on our results of operations, financial condition and cash flows. Additional or new tariffs imposed by various governments globally have the potential to disrupt existing supply chains and impose additional costs on our business. Existing and future retaliatory trade actions imposed by other governments, as well as possible price increases we may elect to charge, could make our products more expensive for customers, and, in turn, could make our products less competitive. Any existing or new, substantial tariff increases on imports within our supply chain or involving countries in which our contract manufacturers are located, should they be implemented and sustained for an extended period of time, could have a significant adverse effect on our business and our supply chain.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information with respect to purchases made by or on behalf of Digi or any "affiliated purchaser" (as defined in Rule 10b-18(a)(3) under the Exchange Act), of our common stock during the third quarter of fiscal 2025:</w:t>
      </w:r>
    </w:p>
    <w:tbl>
      <w:tblPr>
        <w:tblW w:w="10205" w:type="dxa"/>
        <w:jc w:val="left"/>
        <w:tblInd w:w="0" w:type="dxa"/>
        <w:tblLayout w:type="fixed"/>
        <w:tblCellMar>
          <w:top w:w="28" w:type="dxa"/>
          <w:left w:w="28" w:type="dxa"/>
          <w:bottom w:w="28" w:type="dxa"/>
          <w:right w:w="28" w:type="dxa"/>
        </w:tblCellMar>
      </w:tblPr>
      <w:tblGrid>
        <w:gridCol w:w="414"/>
        <w:gridCol w:w="362"/>
        <w:gridCol w:w="366"/>
        <w:gridCol w:w="109"/>
        <w:gridCol w:w="109"/>
        <w:gridCol w:w="109"/>
        <w:gridCol w:w="506"/>
        <w:gridCol w:w="506"/>
        <w:gridCol w:w="508"/>
        <w:gridCol w:w="109"/>
        <w:gridCol w:w="109"/>
        <w:gridCol w:w="109"/>
        <w:gridCol w:w="299"/>
        <w:gridCol w:w="875"/>
        <w:gridCol w:w="154"/>
        <w:gridCol w:w="109"/>
        <w:gridCol w:w="109"/>
        <w:gridCol w:w="109"/>
        <w:gridCol w:w="805"/>
        <w:gridCol w:w="805"/>
        <w:gridCol w:w="807"/>
        <w:gridCol w:w="109"/>
        <w:gridCol w:w="109"/>
        <w:gridCol w:w="109"/>
        <w:gridCol w:w="679"/>
        <w:gridCol w:w="1306"/>
        <w:gridCol w:w="505"/>
      </w:tblGrid>
      <w:tr>
        <w:trPr/>
        <w:tc>
          <w:tcPr>
            <w:tcW w:w="41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Total Number of Shares Purchased</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 as Part of a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Maximum Dollar Value of Shares that May Yet Be Purchased Under the Program</w:t>
            </w:r>
          </w:p>
        </w:tc>
      </w:tr>
      <w:tr>
        <w:trPr/>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2025 - 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2025 - 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5,448 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2025 -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    All shares reported were forfeited by employees in connection with the satisfaction of tax withholding obligations related to the vesting of restricted stock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283"/>
        <w:jc w:val="left"/>
        <w:rPr/>
      </w:pPr>
      <w:r>
        <w:rPr>
          <w:rFonts w:ascii="Times New Roman;serif" w:hAnsi="Times New Roman;serif"/>
          <w:b w:val="false"/>
          <w:color w:val="000000"/>
          <w:sz w:val="20"/>
        </w:rPr>
        <w:t xml:space="preserve">During the three months ended June 30, 2025, none of our directors or officers </w:t>
      </w:r>
      <w:r>
        <w:rPr>
          <w:rFonts w:ascii="Times New Roman;serif" w:hAnsi="Times New Roman;serif"/>
          <w:b w:val="false"/>
          <w:color w:val="000000"/>
          <w:sz w:val="20"/>
          <w:shd w:fill="FFFFFF" w:val="clear"/>
        </w:rPr>
        <w:t>(as defined in Rule 16a-1(f) of the Exchange Act)</w:t>
      </w:r>
      <w:r>
        <w:rPr>
          <w:color w:val="000000"/>
        </w:rPr>
        <w:t xml:space="preserve"> </w:t>
      </w:r>
      <w:r>
        <w:rPr>
          <w:rFonts w:ascii="Times New Roman;serif" w:hAnsi="Times New Roman;serif"/>
          <w:b w:val="false"/>
          <w:color w:val="000000"/>
          <w:sz w:val="20"/>
        </w:rPr>
        <w:t>adopted, modified or terminated a</w:t>
      </w:r>
      <w:r>
        <w:rPr>
          <w:rFonts w:ascii="Times New Roman;serif" w:hAnsi="Times New Roman;serif"/>
          <w:b w:val="false"/>
          <w:color w:val="000000"/>
          <w:sz w:val="20"/>
          <w:shd w:fill="FFFFFF" w:val="clear"/>
        </w:rPr>
        <w:t>ny contract, instruction, or written plan for the purchase or sale of our securities that was intended to satisfy the affirmative defense conditions of</w:t>
      </w:r>
      <w:r>
        <w:rPr>
          <w:color w:val="000000"/>
        </w:rPr>
        <w:t xml:space="preserve"> </w:t>
      </w:r>
      <w:r>
        <w:rPr>
          <w:rFonts w:ascii="Times New Roman;serif" w:hAnsi="Times New Roman;serif"/>
          <w:b w:val="false"/>
          <w:color w:val="000000"/>
          <w:sz w:val="20"/>
        </w:rPr>
        <w:t>Rule 10b5-1(c) of the Exchange Actor any non-Rule 10b5-1 trading arrangement (as defined in Item 408(c)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8"/>
        <w:gridCol w:w="213"/>
        <w:gridCol w:w="125"/>
        <w:gridCol w:w="125"/>
        <w:gridCol w:w="125"/>
        <w:gridCol w:w="130"/>
        <w:gridCol w:w="2685"/>
        <w:gridCol w:w="2540"/>
        <w:gridCol w:w="2564"/>
        <w:gridCol w:w="584"/>
        <w:gridCol w:w="436"/>
        <w:gridCol w:w="410"/>
      </w:tblGrid>
      <w:tr>
        <w:trPr/>
        <w:tc>
          <w:tcPr>
            <w:tcW w:w="2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Method of Filing</w:t>
            </w:r>
          </w:p>
        </w:tc>
      </w:tr>
      <w:tr>
        <w:trPr/>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7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Restated Certificate of Incorporation of the Company, as amended (1)</w:t>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Amended and Restated By-Laws of the Company</w:t>
              </w:r>
            </w:hyperlink>
            <w:r>
              <w:rPr>
                <w:color w:val="000000"/>
              </w:rPr>
              <w:t xml:space="preserve"> </w:t>
            </w:r>
            <w:r>
              <w:rPr>
                <w:rFonts w:ascii="Times New Roman;serif" w:hAnsi="Times New Roman;serif"/>
                <w:b w:val="false"/>
                <w:color w:val="000000"/>
                <w:sz w:val="20"/>
              </w:rPr>
              <w:t>(2)</w:t>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Digi International Inc. 2021 Omnibus Incentive Plan (as amended and restated on February 3, 2025)</w:t>
              </w:r>
            </w:hyperlink>
            <w:r>
              <w:rPr>
                <w:color w:val="000000"/>
              </w:rPr>
              <w:t xml:space="preserve"> </w:t>
            </w:r>
            <w:r>
              <w:rPr>
                <w:rFonts w:ascii="Times New Roman;serif" w:hAnsi="Times New Roman;serif"/>
                <w:b w:val="false"/>
                <w:color w:val="000000"/>
                <w:sz w:val="20"/>
              </w:rPr>
              <w:t>(3)</w:t>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gii-ex31a_2025630x10q.htm">
              <w:r>
                <w:rPr>
                  <w:rStyle w:val="InternetLink"/>
                  <w:rFonts w:ascii="Times New Roman;serif" w:hAnsi="Times New Roman;serif"/>
                  <w:b w:val="false"/>
                  <w:color w:val="0000FF"/>
                  <w:sz w:val="20"/>
                  <w:u w:val="single"/>
                </w:rPr>
                <w:t>Rule 13a-14(a)/15d-14(a) Certification of Chief Executive Officer</w:t>
              </w:r>
            </w:hyperlink>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Electronically</w:t>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gii-ex31b_2025630x10q.htm">
              <w:r>
                <w:rPr>
                  <w:rStyle w:val="InternetLink"/>
                  <w:rFonts w:ascii="Times New Roman;serif" w:hAnsi="Times New Roman;serif"/>
                  <w:b w:val="false"/>
                  <w:color w:val="0000FF"/>
                  <w:sz w:val="20"/>
                  <w:u w:val="single"/>
                </w:rPr>
                <w:t>Rule 13a-14(a)/15d-14(a) Certification of Chief Financial Officer</w:t>
              </w:r>
            </w:hyperlink>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Electronically</w:t>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gii-ex32_2025630x10q.htm">
              <w:r>
                <w:rPr>
                  <w:rStyle w:val="InternetLink"/>
                  <w:rFonts w:ascii="Times New Roman;serif" w:hAnsi="Times New Roman;serif"/>
                  <w:b w:val="false"/>
                  <w:color w:val="0000FF"/>
                  <w:sz w:val="20"/>
                  <w:u w:val="single"/>
                </w:rPr>
                <w:t>Section 1350 Certification</w:t>
              </w:r>
            </w:hyperlink>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Furnished Electronically</w:t>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Digi International Inc.'s Quarterly Report on Form 10-Q for the fiscal period ended June 30, 2025, as filed with the Security and Exchange Commission, formatted in iXBRL (Inline eXtensible Business Reporting Language): (i) Condensed Consolidated Statements of Operations; (ii) Condensed Consolidated Statements of Comprehensive Income; (iii) Condensed Consolidated Balance Sheets; (iv) Condensed Consolidated Statements of Cash Flows; (v) Condensed Consolidated Statements of Stockholders' Equity; (vi) the Notes to the Condensed Consolidated Financial Statements; and (vii) the information set forth in Part II, Item 5.</w:t>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Electronically</w:t>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Digi International Inc.'s Quarterly Report on Form 10-Q for the period ended June 30, 2025 is formatted in iXBRL (included in Exhibit 101).</w:t>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c>
          <w:tcPr>
            <w:tcW w:w="7789"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360"/>
        <w:jc w:val="left"/>
        <w:rPr/>
      </w:pPr>
      <w:r>
        <w:rPr>
          <w:rFonts w:ascii="Times New Roman;serif" w:hAnsi="Times New Roman;serif"/>
          <w:b w:val="false"/>
          <w:color w:val="000000"/>
          <w:sz w:val="18"/>
        </w:rPr>
        <w:t>(1)</w:t>
      </w:r>
      <w:r>
        <w:rPr>
          <w:rFonts w:ascii="Times New Roman;serif" w:hAnsi="Times New Roman;serif"/>
          <w:b w:val="false"/>
          <w:color w:val="000000"/>
          <w:sz w:val="20"/>
        </w:rPr>
        <w:t>Incorporated by reference to Exhibit 3(a) to the Company's Annual Report on Form 10-K for the year ended September 30, 1993.</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(2)Incorporated by reference to Exhibit 3.1 to the Company's Current Report on Form 8-K filed on April 30, 2020.</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(3)Incorporated by reference to Exhibit 99(a) to the Company's Registration Statement on Form S-8 filed on May 8,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d0ffbf5b8b44cc1b03d406ac6dd9cb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195"/>
        <w:gridCol w:w="172"/>
        <w:gridCol w:w="173"/>
        <w:gridCol w:w="399"/>
        <w:gridCol w:w="399"/>
        <w:gridCol w:w="401"/>
        <w:gridCol w:w="255"/>
        <w:gridCol w:w="255"/>
        <w:gridCol w:w="255"/>
        <w:gridCol w:w="1216"/>
        <w:gridCol w:w="1216"/>
        <w:gridCol w:w="1216"/>
        <w:gridCol w:w="1216"/>
        <w:gridCol w:w="1216"/>
        <w:gridCol w:w="1242"/>
        <w:gridCol w:w="109"/>
        <w:gridCol w:w="109"/>
        <w:gridCol w:w="161"/>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 INTERNATIONAL INC.</w:t>
              <w:br/>
              <w:t> </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73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J. Loch</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Loch</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 (Principal Financial Officer and Authorized Officer)</w:t>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No. 31(a)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Ronald E. Konezny, certify that: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Digi International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896" w:type="dxa"/>
        <w:jc w:val="left"/>
        <w:tblInd w:w="0" w:type="dxa"/>
        <w:tblLayout w:type="fixed"/>
        <w:tblCellMar>
          <w:top w:w="28" w:type="dxa"/>
          <w:left w:w="28" w:type="dxa"/>
          <w:bottom w:w="28" w:type="dxa"/>
          <w:right w:w="28" w:type="dxa"/>
        </w:tblCellMar>
      </w:tblPr>
      <w:tblGrid>
        <w:gridCol w:w="493"/>
        <w:gridCol w:w="435"/>
        <w:gridCol w:w="437"/>
        <w:gridCol w:w="351"/>
        <w:gridCol w:w="351"/>
        <w:gridCol w:w="351"/>
        <w:gridCol w:w="351"/>
        <w:gridCol w:w="351"/>
        <w:gridCol w:w="351"/>
        <w:gridCol w:w="351"/>
        <w:gridCol w:w="351"/>
        <w:gridCol w:w="351"/>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1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Ronald E. Konezny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Ronald E. Konezny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No. 31(b)</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James J. Loch,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Digi International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6714" w:type="dxa"/>
        <w:jc w:val="left"/>
        <w:tblInd w:w="0" w:type="dxa"/>
        <w:tblLayout w:type="fixed"/>
        <w:tblCellMar>
          <w:top w:w="28" w:type="dxa"/>
          <w:left w:w="28" w:type="dxa"/>
          <w:bottom w:w="28" w:type="dxa"/>
          <w:right w:w="28" w:type="dxa"/>
        </w:tblCellMar>
      </w:tblPr>
      <w:tblGrid>
        <w:gridCol w:w="493"/>
        <w:gridCol w:w="435"/>
        <w:gridCol w:w="437"/>
        <w:gridCol w:w="553"/>
        <w:gridCol w:w="553"/>
        <w:gridCol w:w="553"/>
        <w:gridCol w:w="553"/>
        <w:gridCol w:w="553"/>
        <w:gridCol w:w="553"/>
        <w:gridCol w:w="553"/>
        <w:gridCol w:w="553"/>
        <w:gridCol w:w="553"/>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4"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497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J. Loch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Loch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Financial Officer and Treasurer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No. 32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Digi International Inc. (the Registrant) on Form 10-Q for the fiscal quarter ended June 30, 2025 as filed with the Securities and Exchange Commission on the date hereof, each of the undersigned certifies, pursuant to 18 U.S.C. §1350, as adopted pursuant to §906 of the Sarbanes-Oxley Act of 2002,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Quarterly Report on Form 10-Q fairly presents, in all material respects, the financial condition and results of operations of the Registrant.</w:t>
      </w:r>
    </w:p>
    <w:tbl>
      <w:tblPr>
        <w:tblW w:w="6669" w:type="dxa"/>
        <w:jc w:val="left"/>
        <w:tblInd w:w="0" w:type="dxa"/>
        <w:tblLayout w:type="fixed"/>
        <w:tblCellMar>
          <w:top w:w="28" w:type="dxa"/>
          <w:left w:w="28" w:type="dxa"/>
          <w:bottom w:w="28" w:type="dxa"/>
          <w:right w:w="28" w:type="dxa"/>
        </w:tblCellMar>
      </w:tblPr>
      <w:tblGrid>
        <w:gridCol w:w="493"/>
        <w:gridCol w:w="435"/>
        <w:gridCol w:w="437"/>
        <w:gridCol w:w="548"/>
        <w:gridCol w:w="548"/>
        <w:gridCol w:w="548"/>
        <w:gridCol w:w="548"/>
        <w:gridCol w:w="548"/>
        <w:gridCol w:w="548"/>
        <w:gridCol w:w="548"/>
        <w:gridCol w:w="548"/>
        <w:gridCol w:w="548"/>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Ronald E. Konezny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Ronald E. Konezny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669"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J. Loch</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Loch</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9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0854775/000085477524000033/dgii-20240930.htm" TargetMode="External"/><Relationship Id="rId4" Type="http://schemas.openxmlformats.org/officeDocument/2006/relationships/hyperlink" Target="https://www.sec.gov/ix?doc=/Archives/edgar/data/0000854775/000085477524000033/dgii-20240930.htm" TargetMode="External"/><Relationship Id="rId5" Type="http://schemas.openxmlformats.org/officeDocument/2006/relationships/hyperlink" Target="https://www.sec.gov/ix?doc=/Archives/edgar/data/0000854775/000085477524000033/dgii-20240930.htm" TargetMode="External"/><Relationship Id="rId6" Type="http://schemas.openxmlformats.org/officeDocument/2006/relationships/hyperlink" Target="https://www.sec.gov/ix?doc=/Archives/edgar/data/0000854775/000085477524000033/dgii-20240930.htm" TargetMode="External"/><Relationship Id="rId7" Type="http://schemas.openxmlformats.org/officeDocument/2006/relationships/hyperlink" Target="https://www.sec.gov/ix?doc=/Archives/edgar/data/0000854775/000085477524000033/dgii-20240930.htm" TargetMode="External"/><Relationship Id="rId8" Type="http://schemas.openxmlformats.org/officeDocument/2006/relationships/hyperlink" Target="https://www.sec.gov/ix?doc=/Archives/edgar/data/0000854775/000085477524000033/dgii-20240930.htm" TargetMode="External"/><Relationship Id="rId9" Type="http://schemas.openxmlformats.org/officeDocument/2006/relationships/hyperlink" Target="https://www.sec.gov/Archives/edgar/data/854775/000110465920054438/tm2018116d1_ex3-1.htm" TargetMode="External"/><Relationship Id="rId10" Type="http://schemas.openxmlformats.org/officeDocument/2006/relationships/hyperlink" Target="https://www.sec.gov/Archives/edgar/data/854775/000110465925046108/tm2514264d1_ex99-a.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15042</Words>
  <Characters>81099</Characters>
  <CharactersWithSpaces>94912</CharactersWithSpaces>
  <Paragraphs>2897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